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16" w:rsidRDefault="00BE4B16" w:rsidP="00BE4B16">
      <w:pPr>
        <w:rPr>
          <w:rFonts w:ascii="Calibri" w:hAnsi="Calibri"/>
          <w:b/>
          <w:smallCaps/>
          <w:sz w:val="32"/>
          <w:szCs w:val="32"/>
          <w14:shadow w14:blurRad="50800" w14:dist="38100" w14:dir="2700000" w14:sx="100000" w14:sy="100000" w14:kx="0" w14:ky="0" w14:algn="tl">
            <w14:srgbClr w14:val="000000">
              <w14:alpha w14:val="60000"/>
            </w14:srgbClr>
          </w14:shadow>
        </w:rPr>
      </w:pPr>
      <w:r>
        <w:rPr>
          <w:rFonts w:ascii="Calibri" w:hAnsi="Calibri"/>
          <w:b/>
          <w:smallCaps/>
          <w:sz w:val="32"/>
          <w:szCs w:val="32"/>
          <w14:shadow w14:blurRad="50800" w14:dist="38100" w14:dir="2700000" w14:sx="100000" w14:sy="100000" w14:kx="0" w14:ky="0" w14:algn="tl">
            <w14:srgbClr w14:val="000000">
              <w14:alpha w14:val="60000"/>
            </w14:srgbClr>
          </w14:shadow>
        </w:rPr>
        <w:t>IM Legal and Regulatory Framework Worksheet</w:t>
      </w:r>
    </w:p>
    <w:p w:rsidR="00BE4B16" w:rsidRPr="00BE4B16" w:rsidRDefault="00BE4B16" w:rsidP="00BE4B16">
      <w:pPr>
        <w:rPr>
          <w:szCs w:val="20"/>
        </w:rPr>
      </w:pPr>
      <w:r w:rsidRPr="00BE4B16">
        <w:rPr>
          <w:szCs w:val="20"/>
        </w:rPr>
        <w:t xml:space="preserve">Populate this table with all relevant </w:t>
      </w:r>
      <w:r w:rsidRPr="00BE4B16">
        <w:t>legislation, policies, procedures, regulations, contracts, and agreements (i.e. collective agreements) that contain IM requirements within which the University, or specifically your Unit, must comply.</w:t>
      </w:r>
      <w:r>
        <w:t xml:space="preserve">  To get started, some sections of this tabl</w:t>
      </w:r>
      <w:r w:rsidR="00AC7B2C">
        <w:t xml:space="preserve">e have been pre-populated with relevant </w:t>
      </w:r>
      <w:r>
        <w:t xml:space="preserve">legislation and policy that is applicable University-wide. </w:t>
      </w:r>
    </w:p>
    <w:tbl>
      <w:tblPr>
        <w:tblStyle w:val="TableGrid"/>
        <w:tblW w:w="0" w:type="auto"/>
        <w:tblLook w:val="04A0" w:firstRow="1" w:lastRow="0" w:firstColumn="1" w:lastColumn="0" w:noHBand="0" w:noVBand="1"/>
      </w:tblPr>
      <w:tblGrid>
        <w:gridCol w:w="9350"/>
      </w:tblGrid>
      <w:tr w:rsidR="00BE4B16" w:rsidRPr="00BE4B16" w:rsidTr="00E608F8">
        <w:trPr>
          <w:tblHeader/>
        </w:trPr>
        <w:tc>
          <w:tcPr>
            <w:tcW w:w="9350" w:type="dxa"/>
            <w:shd w:val="clear" w:color="auto" w:fill="632423" w:themeFill="accent2" w:themeFillShade="80"/>
          </w:tcPr>
          <w:p w:rsidR="00BE4B16" w:rsidRPr="00BE4B16" w:rsidRDefault="00BE4B16" w:rsidP="00BE4B16">
            <w:pPr>
              <w:jc w:val="center"/>
            </w:pPr>
            <w:r w:rsidRPr="00BE4B16">
              <w:rPr>
                <w:rFonts w:ascii="Calibri" w:hAnsi="Calibri"/>
                <w:b/>
                <w:smallCaps/>
                <w:color w:val="FFFFFF" w:themeColor="background1"/>
                <w:sz w:val="32"/>
                <w:szCs w:val="32"/>
                <w14:shadow w14:blurRad="50800" w14:dist="38100" w14:dir="2700000" w14:sx="100000" w14:sy="100000" w14:kx="0" w14:ky="0" w14:algn="tl">
                  <w14:srgbClr w14:val="000000">
                    <w14:alpha w14:val="60000"/>
                  </w14:srgbClr>
                </w14:shadow>
              </w:rPr>
              <w:t>IM Legal and Regulatory Framework</w:t>
            </w:r>
          </w:p>
        </w:tc>
      </w:tr>
      <w:tr w:rsidR="00BE4B16" w:rsidRPr="00BE4B16" w:rsidTr="00E608F8">
        <w:tc>
          <w:tcPr>
            <w:tcW w:w="9350" w:type="dxa"/>
            <w:shd w:val="clear" w:color="auto" w:fill="D9D9D9" w:themeFill="background1" w:themeFillShade="D9"/>
          </w:tcPr>
          <w:p w:rsidR="00BE4B16" w:rsidRPr="00BE4B16" w:rsidRDefault="00BE4B16" w:rsidP="00BE4B16">
            <w:pPr>
              <w:spacing w:before="20" w:after="20"/>
              <w:outlineLvl w:val="0"/>
              <w:rPr>
                <w:rFonts w:ascii="Calibri" w:eastAsia="Times New Roman" w:hAnsi="Calibri" w:cs="Arial"/>
                <w:b/>
                <w:smallCaps/>
                <w:sz w:val="44"/>
                <w:szCs w:val="44"/>
                <w14:shadow w14:blurRad="50800" w14:dist="38100" w14:dir="2700000" w14:sx="100000" w14:sy="100000" w14:kx="0" w14:ky="0" w14:algn="tl">
                  <w14:srgbClr w14:val="000000">
                    <w14:alpha w14:val="60000"/>
                  </w14:srgbClr>
                </w14:shadow>
              </w:rPr>
            </w:pPr>
            <w:bookmarkStart w:id="0" w:name="_Toc462152570"/>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 xml:space="preserve">Reference - </w:t>
            </w:r>
            <w:r w:rsidRPr="00BE4B16">
              <w:rPr>
                <w:rFonts w:ascii="Calibri" w:eastAsia="Times New Roman" w:hAnsi="Calibri" w:cs="Arial"/>
                <w:b/>
                <w:i/>
                <w:smallCaps/>
                <w:sz w:val="20"/>
                <w:szCs w:val="44"/>
                <w14:shadow w14:blurRad="50800" w14:dist="38100" w14:dir="2700000" w14:sx="100000" w14:sy="100000" w14:kx="0" w14:ky="0" w14:algn="tl">
                  <w14:srgbClr w14:val="000000">
                    <w14:alpha w14:val="60000"/>
                  </w14:srgbClr>
                </w14:shadow>
              </w:rPr>
              <w:t>Management of Information of Act</w:t>
            </w:r>
            <w:bookmarkEnd w:id="0"/>
          </w:p>
        </w:tc>
      </w:tr>
      <w:tr w:rsidR="00BE4B16" w:rsidRPr="00BE4B16" w:rsidTr="00E608F8">
        <w:tc>
          <w:tcPr>
            <w:tcW w:w="9350" w:type="dxa"/>
            <w:shd w:val="clear" w:color="auto" w:fill="D9D9D9" w:themeFill="background1" w:themeFillShade="D9"/>
          </w:tcPr>
          <w:p w:rsidR="00BE4B16" w:rsidRPr="00BE4B16" w:rsidRDefault="00BE4B16" w:rsidP="00BE4B16">
            <w:pPr>
              <w:spacing w:before="20" w:after="20"/>
              <w:outlineLvl w:val="0"/>
              <w:rPr>
                <w:rFonts w:ascii="Calibri" w:eastAsia="Times New Roman" w:hAnsi="Calibri" w:cs="Arial"/>
                <w:b/>
                <w:smallCaps/>
                <w14:shadow w14:blurRad="50800" w14:dist="38100" w14:dir="2700000" w14:sx="100000" w14:sy="100000" w14:kx="0" w14:ky="0" w14:algn="tl">
                  <w14:srgbClr w14:val="000000">
                    <w14:alpha w14:val="60000"/>
                  </w14:srgbClr>
                </w14:shadow>
              </w:rPr>
            </w:pPr>
            <w:bookmarkStart w:id="1" w:name="_Toc462152571"/>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IM Compliance Requirements</w:t>
            </w:r>
            <w:bookmarkEnd w:id="1"/>
          </w:p>
        </w:tc>
      </w:tr>
      <w:tr w:rsidR="00BE4B16" w:rsidRPr="00BE4B16" w:rsidTr="00E608F8">
        <w:tc>
          <w:tcPr>
            <w:tcW w:w="9350" w:type="dxa"/>
          </w:tcPr>
          <w:p w:rsidR="00BE4B16" w:rsidRPr="00BE4B16" w:rsidRDefault="00BE4B16" w:rsidP="00BE4B16">
            <w:pPr>
              <w:spacing w:before="120" w:after="120"/>
              <w:jc w:val="both"/>
              <w:rPr>
                <w:sz w:val="20"/>
                <w:szCs w:val="20"/>
              </w:rPr>
            </w:pPr>
            <w:r w:rsidRPr="00BE4B16">
              <w:rPr>
                <w:sz w:val="20"/>
                <w:szCs w:val="20"/>
              </w:rPr>
              <w:t xml:space="preserve">6. (1) A permanent head of a public body </w:t>
            </w:r>
            <w:r w:rsidRPr="00BE4B16">
              <w:rPr>
                <w:sz w:val="20"/>
                <w:szCs w:val="20"/>
                <w:u w:val="single"/>
              </w:rPr>
              <w:t>shall</w:t>
            </w:r>
            <w:r w:rsidRPr="00BE4B16">
              <w:rPr>
                <w:sz w:val="20"/>
                <w:szCs w:val="20"/>
              </w:rPr>
              <w:t xml:space="preserve"> dev</w:t>
            </w:r>
            <w:bookmarkStart w:id="2" w:name="_GoBack"/>
            <w:bookmarkEnd w:id="2"/>
            <w:r w:rsidRPr="00BE4B16">
              <w:rPr>
                <w:sz w:val="20"/>
                <w:szCs w:val="20"/>
              </w:rPr>
              <w:t>elop, implement and maintain a record management system for the creation, classification, retention, storage, maintenance, retrieval, preservation, disposal and transfer of public records.</w:t>
            </w:r>
            <w:r w:rsidRPr="00BE4B16">
              <w:rPr>
                <w:sz w:val="20"/>
                <w:szCs w:val="20"/>
                <w:lang w:val="en-US"/>
              </w:rPr>
              <w:t xml:space="preserve"> </w:t>
            </w:r>
          </w:p>
          <w:p w:rsidR="00BE4B16" w:rsidRPr="00BE4B16" w:rsidRDefault="00BE4B16" w:rsidP="00BE4B16">
            <w:pPr>
              <w:jc w:val="both"/>
              <w:rPr>
                <w:sz w:val="20"/>
                <w:szCs w:val="20"/>
              </w:rPr>
            </w:pPr>
            <w:r w:rsidRPr="00BE4B16">
              <w:rPr>
                <w:sz w:val="20"/>
                <w:szCs w:val="20"/>
              </w:rPr>
              <w:t xml:space="preserve">6. (2) A system required under subsection (1) </w:t>
            </w:r>
            <w:r w:rsidRPr="00BE4B16">
              <w:rPr>
                <w:sz w:val="20"/>
                <w:szCs w:val="20"/>
                <w:u w:val="single"/>
              </w:rPr>
              <w:t>shall</w:t>
            </w:r>
            <w:r w:rsidRPr="00BE4B16">
              <w:rPr>
                <w:sz w:val="20"/>
                <w:szCs w:val="20"/>
              </w:rPr>
              <w:t xml:space="preserve"> provide for retention periods and disposition by</w:t>
            </w:r>
            <w:r w:rsidRPr="00BE4B16">
              <w:rPr>
                <w:sz w:val="20"/>
                <w:szCs w:val="20"/>
                <w:lang w:val="en-US"/>
              </w:rPr>
              <w:t xml:space="preserve"> </w:t>
            </w:r>
          </w:p>
          <w:p w:rsidR="00BE4B16" w:rsidRPr="00BE4B16" w:rsidRDefault="00BE4B16" w:rsidP="00BE4B16">
            <w:pPr>
              <w:jc w:val="both"/>
              <w:rPr>
                <w:sz w:val="20"/>
                <w:szCs w:val="20"/>
              </w:rPr>
            </w:pPr>
            <w:r w:rsidRPr="00BE4B16">
              <w:rPr>
                <w:sz w:val="20"/>
                <w:szCs w:val="20"/>
              </w:rPr>
              <w:tab/>
            </w:r>
            <w:r w:rsidRPr="00BE4B16">
              <w:rPr>
                <w:sz w:val="20"/>
                <w:szCs w:val="20"/>
              </w:rPr>
              <w:tab/>
              <w:t>(a) destruction, or</w:t>
            </w:r>
            <w:r w:rsidRPr="00BE4B16">
              <w:rPr>
                <w:sz w:val="20"/>
                <w:szCs w:val="20"/>
                <w:lang w:val="en-US"/>
              </w:rPr>
              <w:t xml:space="preserve"> </w:t>
            </w:r>
          </w:p>
          <w:p w:rsidR="00BE4B16" w:rsidRPr="00BE4B16" w:rsidRDefault="00BE4B16" w:rsidP="00BE4B16">
            <w:pPr>
              <w:jc w:val="both"/>
              <w:rPr>
                <w:sz w:val="20"/>
                <w:szCs w:val="20"/>
              </w:rPr>
            </w:pPr>
            <w:r w:rsidRPr="00BE4B16">
              <w:rPr>
                <w:sz w:val="20"/>
                <w:szCs w:val="20"/>
              </w:rPr>
              <w:tab/>
            </w:r>
            <w:r w:rsidRPr="00BE4B16">
              <w:rPr>
                <w:sz w:val="20"/>
                <w:szCs w:val="20"/>
              </w:rPr>
              <w:tab/>
              <w:t>(b) transfer to the archives,</w:t>
            </w:r>
            <w:r w:rsidRPr="00BE4B16">
              <w:rPr>
                <w:sz w:val="20"/>
                <w:szCs w:val="20"/>
                <w:lang w:val="en-US"/>
              </w:rPr>
              <w:t xml:space="preserve"> </w:t>
            </w:r>
          </w:p>
          <w:p w:rsidR="00BE4B16" w:rsidRPr="00BE4B16" w:rsidRDefault="00BE4B16" w:rsidP="00BE4B16">
            <w:pPr>
              <w:spacing w:after="120"/>
              <w:jc w:val="both"/>
              <w:rPr>
                <w:sz w:val="20"/>
                <w:szCs w:val="20"/>
              </w:rPr>
            </w:pPr>
            <w:r w:rsidRPr="00BE4B16">
              <w:rPr>
                <w:sz w:val="20"/>
                <w:szCs w:val="20"/>
              </w:rPr>
              <w:t xml:space="preserve">In accordance with the guidelines and schedules established by the Government Records Committee established under Section 5.1 </w:t>
            </w:r>
          </w:p>
          <w:p w:rsidR="00BE4B16" w:rsidRPr="00BE4B16" w:rsidRDefault="00BE4B16" w:rsidP="00BE4B16">
            <w:pPr>
              <w:spacing w:after="120"/>
              <w:jc w:val="both"/>
              <w:rPr>
                <w:sz w:val="20"/>
                <w:szCs w:val="20"/>
              </w:rPr>
            </w:pPr>
            <w:r w:rsidRPr="00BE4B16">
              <w:rPr>
                <w:sz w:val="20"/>
                <w:szCs w:val="20"/>
              </w:rPr>
              <w:t xml:space="preserve">6. (3) A permanent head of a public body </w:t>
            </w:r>
            <w:r w:rsidRPr="00BE4B16">
              <w:rPr>
                <w:sz w:val="20"/>
                <w:szCs w:val="20"/>
                <w:u w:val="single"/>
              </w:rPr>
              <w:t>shall</w:t>
            </w:r>
            <w:r w:rsidRPr="00BE4B16">
              <w:rPr>
                <w:sz w:val="20"/>
                <w:szCs w:val="20"/>
              </w:rPr>
              <w:t xml:space="preserve"> ensure that the retention, disposal and removal of public records is carried out in accordance with this </w:t>
            </w:r>
            <w:r w:rsidRPr="00BE4B16">
              <w:rPr>
                <w:i/>
                <w:iCs/>
                <w:sz w:val="20"/>
                <w:szCs w:val="20"/>
              </w:rPr>
              <w:t>Act</w:t>
            </w:r>
            <w:r w:rsidRPr="00BE4B16">
              <w:rPr>
                <w:sz w:val="20"/>
                <w:szCs w:val="20"/>
              </w:rPr>
              <w:t>.</w:t>
            </w:r>
            <w:r w:rsidRPr="00BE4B16">
              <w:rPr>
                <w:sz w:val="20"/>
                <w:szCs w:val="20"/>
                <w:lang w:val="en-US"/>
              </w:rPr>
              <w:t xml:space="preserve"> </w:t>
            </w:r>
          </w:p>
        </w:tc>
      </w:tr>
      <w:tr w:rsidR="00BE4B16" w:rsidRPr="00BE4B16" w:rsidTr="00E608F8">
        <w:tc>
          <w:tcPr>
            <w:tcW w:w="9350" w:type="dxa"/>
            <w:shd w:val="clear" w:color="auto" w:fill="D9D9D9" w:themeFill="background1" w:themeFillShade="D9"/>
          </w:tcPr>
          <w:p w:rsidR="00BE4B16" w:rsidRPr="00BE4B16" w:rsidRDefault="00BE4B16" w:rsidP="00BE4B16">
            <w:pPr>
              <w:spacing w:before="20" w:after="20"/>
              <w:outlineLvl w:val="0"/>
              <w:rPr>
                <w:rFonts w:ascii="Calibri" w:eastAsia="Times New Roman" w:hAnsi="Calibri" w:cs="Arial"/>
                <w:b/>
                <w:i/>
                <w:smallCaps/>
                <w:sz w:val="20"/>
                <w:szCs w:val="20"/>
                <w14:shadow w14:blurRad="50800" w14:dist="38100" w14:dir="2700000" w14:sx="100000" w14:sy="100000" w14:kx="0" w14:ky="0" w14:algn="tl">
                  <w14:srgbClr w14:val="000000">
                    <w14:alpha w14:val="60000"/>
                  </w14:srgbClr>
                </w14:shadow>
              </w:rPr>
            </w:pPr>
            <w:bookmarkStart w:id="3" w:name="_Toc462152572"/>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 xml:space="preserve">Reference - </w:t>
            </w:r>
            <w:r w:rsidRPr="00BE4B16">
              <w:rPr>
                <w:rFonts w:ascii="Calibri" w:eastAsia="Times New Roman" w:hAnsi="Calibri" w:cs="Arial"/>
                <w:b/>
                <w:i/>
                <w:smallCaps/>
                <w:sz w:val="20"/>
                <w:szCs w:val="44"/>
                <w14:shadow w14:blurRad="50800" w14:dist="38100" w14:dir="2700000" w14:sx="100000" w14:sy="100000" w14:kx="0" w14:ky="0" w14:algn="tl">
                  <w14:srgbClr w14:val="000000">
                    <w14:alpha w14:val="60000"/>
                  </w14:srgbClr>
                </w14:shadow>
              </w:rPr>
              <w:t>Access to Information and Protection of Privacy Act (ATIPPA)</w:t>
            </w:r>
            <w:bookmarkEnd w:id="3"/>
          </w:p>
        </w:tc>
      </w:tr>
      <w:tr w:rsidR="00BE4B16" w:rsidRPr="00BE4B16" w:rsidTr="00E608F8">
        <w:tc>
          <w:tcPr>
            <w:tcW w:w="9350" w:type="dxa"/>
            <w:shd w:val="clear" w:color="auto" w:fill="D9D9D9" w:themeFill="background1" w:themeFillShade="D9"/>
          </w:tcPr>
          <w:p w:rsidR="00BE4B16" w:rsidRPr="00BE4B16" w:rsidRDefault="00BE4B16" w:rsidP="00BE4B16">
            <w:pPr>
              <w:spacing w:before="20" w:after="20"/>
              <w:outlineLvl w:val="0"/>
              <w:rPr>
                <w:rFonts w:ascii="Calibri" w:eastAsia="Times New Roman" w:hAnsi="Calibri" w:cs="Arial"/>
                <w:b/>
                <w:smallCaps/>
                <w14:shadow w14:blurRad="50800" w14:dist="38100" w14:dir="2700000" w14:sx="100000" w14:sy="100000" w14:kx="0" w14:ky="0" w14:algn="tl">
                  <w14:srgbClr w14:val="000000">
                    <w14:alpha w14:val="60000"/>
                  </w14:srgbClr>
                </w14:shadow>
              </w:rPr>
            </w:pPr>
            <w:bookmarkStart w:id="4" w:name="_Toc462152573"/>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IM Compliance Requirements</w:t>
            </w:r>
            <w:bookmarkEnd w:id="4"/>
          </w:p>
        </w:tc>
      </w:tr>
      <w:tr w:rsidR="00BE4B16" w:rsidRPr="00BE4B16" w:rsidTr="00E608F8">
        <w:tc>
          <w:tcPr>
            <w:tcW w:w="9350" w:type="dxa"/>
          </w:tcPr>
          <w:p w:rsidR="00BE4B16" w:rsidRPr="00BE4B16" w:rsidRDefault="00BE4B16" w:rsidP="00BE4B16">
            <w:pPr>
              <w:spacing w:before="120" w:after="120"/>
              <w:rPr>
                <w:sz w:val="20"/>
                <w:szCs w:val="20"/>
                <w:lang w:val="en-US"/>
              </w:rPr>
            </w:pPr>
            <w:r w:rsidRPr="00BE4B16">
              <w:rPr>
                <w:i/>
                <w:sz w:val="20"/>
                <w:szCs w:val="20"/>
                <w:lang w:val="en-US"/>
              </w:rPr>
              <w:t>ATIPPA</w:t>
            </w:r>
            <w:r w:rsidRPr="00BE4B16">
              <w:rPr>
                <w:sz w:val="20"/>
                <w:szCs w:val="20"/>
                <w:lang w:val="en-US"/>
              </w:rPr>
              <w:t xml:space="preserve"> focuses on protection of privacy and access to information, not specifically on the management of information; however, mature IM practices enable compliance with ATIPPA. </w:t>
            </w:r>
            <w:r w:rsidRPr="00BE4B16">
              <w:rPr>
                <w:sz w:val="20"/>
                <w:szCs w:val="20"/>
                <w:u w:val="single"/>
                <w:lang w:val="en-US"/>
              </w:rPr>
              <w:t>Examples</w:t>
            </w:r>
            <w:r w:rsidRPr="00BE4B16">
              <w:rPr>
                <w:sz w:val="20"/>
                <w:szCs w:val="20"/>
                <w:lang w:val="en-US"/>
              </w:rPr>
              <w:t xml:space="preserve"> of IM Compliance Requirements are as follows:</w:t>
            </w:r>
          </w:p>
          <w:p w:rsidR="00BE4B16" w:rsidRPr="00BE4B16" w:rsidRDefault="00BE4B16" w:rsidP="00BE4B16">
            <w:pPr>
              <w:keepNext/>
              <w:keepLines/>
              <w:spacing w:before="300"/>
              <w:outlineLvl w:val="8"/>
              <w:rPr>
                <w:sz w:val="20"/>
                <w:szCs w:val="20"/>
              </w:rPr>
            </w:pPr>
            <w:r w:rsidRPr="00BE4B16">
              <w:rPr>
                <w:b/>
                <w:bCs/>
                <w:sz w:val="20"/>
                <w:szCs w:val="20"/>
              </w:rPr>
              <w:t xml:space="preserve">Right to request correction of personal information </w:t>
            </w:r>
          </w:p>
          <w:p w:rsidR="00BE4B16" w:rsidRPr="00BE4B16" w:rsidRDefault="00BE4B16" w:rsidP="00BE4B16">
            <w:pPr>
              <w:spacing w:before="120" w:after="240"/>
              <w:rPr>
                <w:rFonts w:eastAsia="Times New Roman" w:cs="Times New Roman"/>
                <w:sz w:val="20"/>
                <w:szCs w:val="20"/>
                <w:lang w:eastAsia="en-CA"/>
              </w:rPr>
            </w:pPr>
            <w:r w:rsidRPr="00BE4B16">
              <w:rPr>
                <w:rFonts w:eastAsia="Times New Roman" w:cs="Times New Roman"/>
                <w:b/>
                <w:sz w:val="20"/>
                <w:szCs w:val="20"/>
                <w:lang w:eastAsia="en-CA"/>
              </w:rPr>
              <w:t xml:space="preserve">10. </w:t>
            </w:r>
            <w:r w:rsidRPr="00BE4B16">
              <w:rPr>
                <w:rFonts w:eastAsia="Times New Roman" w:cs="Times New Roman"/>
                <w:sz w:val="20"/>
                <w:szCs w:val="20"/>
                <w:lang w:eastAsia="en-CA"/>
              </w:rPr>
              <w:t xml:space="preserve">(1) An individual who believes there is an error or omission in his or her personal information may request the head of the public body that has the information in its custody or under its control to </w:t>
            </w:r>
            <w:r w:rsidRPr="00BE4B16">
              <w:rPr>
                <w:rFonts w:eastAsia="Times New Roman" w:cs="Times New Roman"/>
                <w:sz w:val="20"/>
                <w:szCs w:val="20"/>
                <w:u w:val="single"/>
                <w:lang w:eastAsia="en-CA"/>
              </w:rPr>
              <w:t>correct the information</w:t>
            </w:r>
            <w:r w:rsidRPr="00BE4B16">
              <w:rPr>
                <w:rFonts w:eastAsia="Times New Roman" w:cs="Times New Roman"/>
                <w:sz w:val="20"/>
                <w:szCs w:val="20"/>
                <w:lang w:eastAsia="en-CA"/>
              </w:rPr>
              <w:t>.</w:t>
            </w:r>
          </w:p>
          <w:p w:rsidR="00BE4B16" w:rsidRPr="00BE4B16" w:rsidRDefault="00BE4B16" w:rsidP="00BE4B16">
            <w:pPr>
              <w:keepNext/>
              <w:keepLines/>
              <w:spacing w:after="120"/>
              <w:outlineLvl w:val="8"/>
              <w:rPr>
                <w:b/>
                <w:bCs/>
                <w:sz w:val="20"/>
                <w:szCs w:val="20"/>
              </w:rPr>
            </w:pPr>
            <w:r w:rsidRPr="00BE4B16">
              <w:rPr>
                <w:b/>
                <w:bCs/>
                <w:sz w:val="20"/>
                <w:szCs w:val="20"/>
              </w:rPr>
              <w:t xml:space="preserve">Protection of personal information </w:t>
            </w:r>
          </w:p>
          <w:p w:rsidR="00BE4B16" w:rsidRPr="00BE4B16" w:rsidRDefault="00BE4B16" w:rsidP="00BE4B16">
            <w:pPr>
              <w:tabs>
                <w:tab w:val="right" w:pos="504"/>
                <w:tab w:val="left" w:pos="576"/>
              </w:tabs>
              <w:spacing w:after="120"/>
              <w:rPr>
                <w:rFonts w:eastAsia="Times New Roman" w:cs="Times New Roman"/>
                <w:sz w:val="20"/>
                <w:szCs w:val="20"/>
                <w:lang w:eastAsia="en-CA"/>
              </w:rPr>
            </w:pPr>
            <w:r w:rsidRPr="00BE4B16">
              <w:rPr>
                <w:b/>
                <w:sz w:val="20"/>
                <w:szCs w:val="20"/>
              </w:rPr>
              <w:t xml:space="preserve">64. </w:t>
            </w:r>
            <w:r w:rsidRPr="00BE4B16">
              <w:rPr>
                <w:sz w:val="20"/>
                <w:szCs w:val="20"/>
              </w:rPr>
              <w:tab/>
              <w:t xml:space="preserve"> (1) The head of a public body shall take steps that are reasonable in the circumstances to ensure that </w:t>
            </w:r>
            <w:r w:rsidRPr="00BE4B16">
              <w:rPr>
                <w:rFonts w:eastAsia="Times New Roman" w:cs="Times New Roman"/>
                <w:sz w:val="20"/>
                <w:szCs w:val="20"/>
                <w:lang w:eastAsia="en-CA"/>
              </w:rPr>
              <w:tab/>
              <w:t xml:space="preserve"> </w:t>
            </w:r>
          </w:p>
          <w:p w:rsidR="00BE4B16" w:rsidRPr="00BE4B16" w:rsidRDefault="00BE4B16" w:rsidP="00BE4B16">
            <w:pPr>
              <w:tabs>
                <w:tab w:val="right" w:pos="504"/>
                <w:tab w:val="left" w:pos="576"/>
              </w:tabs>
              <w:spacing w:after="120"/>
              <w:ind w:left="504"/>
              <w:rPr>
                <w:rFonts w:eastAsia="Times New Roman" w:cs="Times New Roman"/>
                <w:sz w:val="20"/>
                <w:szCs w:val="20"/>
                <w:lang w:eastAsia="en-CA"/>
              </w:rPr>
            </w:pPr>
            <w:r w:rsidRPr="00BE4B16">
              <w:rPr>
                <w:rFonts w:eastAsia="Times New Roman" w:cs="Times New Roman"/>
                <w:sz w:val="20"/>
                <w:szCs w:val="20"/>
                <w:lang w:eastAsia="en-CA"/>
              </w:rPr>
              <w:t xml:space="preserve">(a) personal information in its custody or control is </w:t>
            </w:r>
            <w:r w:rsidRPr="00BE4B16">
              <w:rPr>
                <w:rFonts w:eastAsia="Times New Roman" w:cs="Times New Roman"/>
                <w:sz w:val="20"/>
                <w:szCs w:val="20"/>
                <w:u w:val="single"/>
                <w:lang w:eastAsia="en-CA"/>
              </w:rPr>
              <w:t>protected against theft, loss and unauthorized collection, access, use or disclosure</w:t>
            </w:r>
            <w:r w:rsidRPr="00BE4B16">
              <w:rPr>
                <w:rFonts w:eastAsia="Times New Roman" w:cs="Times New Roman"/>
                <w:sz w:val="20"/>
                <w:szCs w:val="20"/>
                <w:lang w:eastAsia="en-CA"/>
              </w:rPr>
              <w:t xml:space="preserve">; </w:t>
            </w:r>
          </w:p>
          <w:p w:rsidR="00BE4B16" w:rsidRPr="00BE4B16" w:rsidRDefault="00BE4B16" w:rsidP="00BE4B16">
            <w:pPr>
              <w:tabs>
                <w:tab w:val="right" w:pos="792"/>
                <w:tab w:val="left" w:pos="864"/>
              </w:tabs>
              <w:spacing w:after="120"/>
              <w:ind w:left="1368" w:hanging="864"/>
              <w:rPr>
                <w:rFonts w:eastAsia="Times New Roman" w:cs="Times New Roman"/>
                <w:sz w:val="20"/>
                <w:szCs w:val="20"/>
                <w:lang w:eastAsia="en-CA"/>
              </w:rPr>
            </w:pPr>
            <w:r w:rsidRPr="00BE4B16">
              <w:rPr>
                <w:rFonts w:eastAsia="Times New Roman" w:cs="Times New Roman"/>
                <w:sz w:val="20"/>
                <w:szCs w:val="20"/>
                <w:lang w:eastAsia="en-CA"/>
              </w:rPr>
              <w:t>(b)</w:t>
            </w:r>
            <w:r w:rsidRPr="00BE4B16">
              <w:rPr>
                <w:rFonts w:eastAsia="Times New Roman" w:cs="Times New Roman"/>
                <w:sz w:val="20"/>
                <w:szCs w:val="20"/>
                <w:lang w:eastAsia="en-CA"/>
              </w:rPr>
              <w:tab/>
              <w:t xml:space="preserve"> records containing personal information in its custody or control are </w:t>
            </w:r>
            <w:r w:rsidRPr="00BE4B16">
              <w:rPr>
                <w:rFonts w:eastAsia="Times New Roman" w:cs="Times New Roman"/>
                <w:sz w:val="20"/>
                <w:szCs w:val="20"/>
                <w:u w:val="single"/>
                <w:lang w:eastAsia="en-CA"/>
              </w:rPr>
              <w:t>protected against unauthorized copying or modification</w:t>
            </w:r>
            <w:r w:rsidRPr="00BE4B16">
              <w:rPr>
                <w:rFonts w:eastAsia="Times New Roman" w:cs="Times New Roman"/>
                <w:sz w:val="20"/>
                <w:szCs w:val="20"/>
                <w:lang w:eastAsia="en-CA"/>
              </w:rPr>
              <w:t xml:space="preserve">; and </w:t>
            </w:r>
          </w:p>
          <w:p w:rsidR="00BE4B16" w:rsidRPr="00BE4B16" w:rsidRDefault="00BE4B16" w:rsidP="00BE4B16">
            <w:pPr>
              <w:tabs>
                <w:tab w:val="right" w:pos="792"/>
                <w:tab w:val="left" w:pos="864"/>
              </w:tabs>
              <w:spacing w:after="120"/>
              <w:ind w:left="1368" w:hanging="864"/>
              <w:rPr>
                <w:rFonts w:eastAsia="Times New Roman" w:cs="Times New Roman"/>
                <w:sz w:val="20"/>
                <w:szCs w:val="20"/>
                <w:lang w:eastAsia="en-CA"/>
              </w:rPr>
            </w:pPr>
            <w:r w:rsidRPr="00BE4B16">
              <w:rPr>
                <w:rFonts w:eastAsia="Times New Roman" w:cs="Times New Roman"/>
                <w:sz w:val="20"/>
                <w:szCs w:val="20"/>
                <w:lang w:eastAsia="en-CA"/>
              </w:rPr>
              <w:t>(c)</w:t>
            </w:r>
            <w:r w:rsidRPr="00BE4B16">
              <w:rPr>
                <w:rFonts w:eastAsia="Times New Roman" w:cs="Times New Roman"/>
                <w:sz w:val="20"/>
                <w:szCs w:val="20"/>
                <w:lang w:eastAsia="en-CA"/>
              </w:rPr>
              <w:tab/>
              <w:t xml:space="preserve"> </w:t>
            </w:r>
            <w:proofErr w:type="gramStart"/>
            <w:r w:rsidRPr="00BE4B16">
              <w:rPr>
                <w:rFonts w:eastAsia="Times New Roman" w:cs="Times New Roman"/>
                <w:sz w:val="20"/>
                <w:szCs w:val="20"/>
                <w:lang w:eastAsia="en-CA"/>
              </w:rPr>
              <w:t>records</w:t>
            </w:r>
            <w:proofErr w:type="gramEnd"/>
            <w:r w:rsidRPr="00BE4B16">
              <w:rPr>
                <w:rFonts w:eastAsia="Times New Roman" w:cs="Times New Roman"/>
                <w:sz w:val="20"/>
                <w:szCs w:val="20"/>
                <w:lang w:eastAsia="en-CA"/>
              </w:rPr>
              <w:t xml:space="preserve"> containing personal information in its custody or control are r</w:t>
            </w:r>
            <w:r w:rsidRPr="00BE4B16">
              <w:rPr>
                <w:rFonts w:eastAsia="Times New Roman" w:cs="Times New Roman"/>
                <w:sz w:val="20"/>
                <w:szCs w:val="20"/>
                <w:u w:val="single"/>
                <w:lang w:eastAsia="en-CA"/>
              </w:rPr>
              <w:t>etained, transferred and disposed of in a secure manner</w:t>
            </w:r>
            <w:r w:rsidRPr="00BE4B16">
              <w:rPr>
                <w:rFonts w:eastAsia="Times New Roman" w:cs="Times New Roman"/>
                <w:sz w:val="20"/>
                <w:szCs w:val="20"/>
                <w:lang w:eastAsia="en-CA"/>
              </w:rPr>
              <w:t xml:space="preserve">. </w:t>
            </w:r>
          </w:p>
          <w:p w:rsidR="00BE4B16" w:rsidRPr="00BE4B16" w:rsidRDefault="00BE4B16" w:rsidP="00BE4B16">
            <w:pPr>
              <w:tabs>
                <w:tab w:val="right" w:pos="792"/>
                <w:tab w:val="left" w:pos="864"/>
              </w:tabs>
              <w:spacing w:after="120"/>
              <w:rPr>
                <w:sz w:val="20"/>
                <w:szCs w:val="20"/>
              </w:rPr>
            </w:pPr>
            <w:r w:rsidRPr="00BE4B16">
              <w:rPr>
                <w:sz w:val="20"/>
                <w:szCs w:val="20"/>
              </w:rPr>
              <w:tab/>
              <w:t>(3)</w:t>
            </w:r>
            <w:r w:rsidRPr="00BE4B16">
              <w:rPr>
                <w:sz w:val="20"/>
                <w:szCs w:val="20"/>
              </w:rPr>
              <w:tab/>
              <w:t xml:space="preserve"> Except as otherwise provided in subsections (6) and (7), the head of a public body that has custody or control of personal information </w:t>
            </w:r>
            <w:r w:rsidRPr="00BE4B16">
              <w:rPr>
                <w:sz w:val="20"/>
                <w:szCs w:val="20"/>
                <w:u w:val="single"/>
              </w:rPr>
              <w:t>shall notify</w:t>
            </w:r>
            <w:r w:rsidRPr="00BE4B16">
              <w:rPr>
                <w:sz w:val="20"/>
                <w:szCs w:val="20"/>
              </w:rPr>
              <w:t xml:space="preserve"> the individual who is the subject of the information at the first reasonable opportunity where the information is </w:t>
            </w:r>
          </w:p>
          <w:p w:rsidR="00BE4B16" w:rsidRPr="00BE4B16" w:rsidRDefault="00BE4B16" w:rsidP="00BE4B16">
            <w:pPr>
              <w:tabs>
                <w:tab w:val="right" w:pos="792"/>
                <w:tab w:val="left" w:pos="864"/>
              </w:tabs>
              <w:spacing w:after="120"/>
              <w:ind w:left="1584" w:hanging="864"/>
              <w:rPr>
                <w:rFonts w:eastAsia="Times New Roman" w:cs="Times New Roman"/>
                <w:sz w:val="20"/>
                <w:szCs w:val="20"/>
                <w:lang w:eastAsia="en-CA"/>
              </w:rPr>
            </w:pPr>
            <w:r w:rsidRPr="00BE4B16">
              <w:rPr>
                <w:rFonts w:eastAsia="Times New Roman" w:cs="Times New Roman"/>
                <w:sz w:val="20"/>
                <w:szCs w:val="20"/>
                <w:lang w:eastAsia="en-CA"/>
              </w:rPr>
              <w:lastRenderedPageBreak/>
              <w:t xml:space="preserve">(a) stolen; </w:t>
            </w:r>
          </w:p>
          <w:p w:rsidR="00BE4B16" w:rsidRPr="00BE4B16" w:rsidRDefault="00BE4B16" w:rsidP="00BE4B16">
            <w:pPr>
              <w:tabs>
                <w:tab w:val="right" w:pos="792"/>
                <w:tab w:val="left" w:pos="864"/>
              </w:tabs>
              <w:spacing w:after="120"/>
              <w:ind w:left="1584" w:hanging="864"/>
              <w:rPr>
                <w:rFonts w:eastAsia="Times New Roman" w:cs="Times New Roman"/>
                <w:sz w:val="20"/>
                <w:szCs w:val="20"/>
                <w:lang w:eastAsia="en-CA"/>
              </w:rPr>
            </w:pPr>
            <w:r w:rsidRPr="00BE4B16">
              <w:rPr>
                <w:rFonts w:eastAsia="Times New Roman" w:cs="Times New Roman"/>
                <w:sz w:val="20"/>
                <w:szCs w:val="20"/>
                <w:lang w:eastAsia="en-CA"/>
              </w:rPr>
              <w:t xml:space="preserve">(b) lost; </w:t>
            </w:r>
          </w:p>
          <w:p w:rsidR="00BE4B16" w:rsidRPr="00BE4B16" w:rsidRDefault="00BE4B16" w:rsidP="00BE4B16">
            <w:pPr>
              <w:tabs>
                <w:tab w:val="right" w:pos="792"/>
                <w:tab w:val="left" w:pos="864"/>
              </w:tabs>
              <w:spacing w:after="120"/>
              <w:ind w:left="1584" w:hanging="864"/>
              <w:rPr>
                <w:rFonts w:eastAsia="Times New Roman" w:cs="Times New Roman"/>
                <w:sz w:val="20"/>
                <w:szCs w:val="20"/>
                <w:lang w:eastAsia="en-CA"/>
              </w:rPr>
            </w:pPr>
            <w:r w:rsidRPr="00BE4B16">
              <w:rPr>
                <w:rFonts w:eastAsia="Times New Roman" w:cs="Times New Roman"/>
                <w:sz w:val="20"/>
                <w:szCs w:val="20"/>
                <w:lang w:eastAsia="en-CA"/>
              </w:rPr>
              <w:t xml:space="preserve">(c) disposed of, except as permitted by law; or </w:t>
            </w:r>
          </w:p>
          <w:p w:rsidR="00BE4B16" w:rsidRPr="00BE4B16" w:rsidRDefault="00BE4B16" w:rsidP="00BE4B16">
            <w:pPr>
              <w:spacing w:after="120"/>
              <w:ind w:left="720"/>
              <w:rPr>
                <w:sz w:val="20"/>
                <w:szCs w:val="20"/>
              </w:rPr>
            </w:pPr>
            <w:r w:rsidRPr="00BE4B16">
              <w:rPr>
                <w:rFonts w:eastAsia="Times New Roman" w:cs="Times New Roman"/>
                <w:sz w:val="20"/>
                <w:szCs w:val="20"/>
                <w:lang w:eastAsia="en-CA"/>
              </w:rPr>
              <w:t xml:space="preserve">(d) </w:t>
            </w:r>
            <w:proofErr w:type="gramStart"/>
            <w:r w:rsidRPr="00BE4B16">
              <w:rPr>
                <w:rFonts w:eastAsia="Times New Roman" w:cs="Times New Roman"/>
                <w:sz w:val="20"/>
                <w:szCs w:val="20"/>
                <w:lang w:eastAsia="en-CA"/>
              </w:rPr>
              <w:t>disclosed</w:t>
            </w:r>
            <w:proofErr w:type="gramEnd"/>
            <w:r w:rsidRPr="00BE4B16">
              <w:rPr>
                <w:rFonts w:eastAsia="Times New Roman" w:cs="Times New Roman"/>
                <w:sz w:val="20"/>
                <w:szCs w:val="20"/>
                <w:lang w:eastAsia="en-CA"/>
              </w:rPr>
              <w:t xml:space="preserve"> to or accessed by an unauthorized person.</w:t>
            </w:r>
          </w:p>
        </w:tc>
      </w:tr>
      <w:tr w:rsidR="00BE4B16" w:rsidRPr="00BE4B16" w:rsidTr="00E608F8">
        <w:tc>
          <w:tcPr>
            <w:tcW w:w="9350" w:type="dxa"/>
            <w:shd w:val="clear" w:color="auto" w:fill="D9D9D9" w:themeFill="background1" w:themeFillShade="D9"/>
          </w:tcPr>
          <w:p w:rsidR="00BE4B16" w:rsidRPr="00BE4B16" w:rsidRDefault="00BE4B16" w:rsidP="00BE4B16">
            <w:pPr>
              <w:spacing w:before="20" w:after="20"/>
              <w:outlineLvl w:val="0"/>
              <w:rPr>
                <w:rFonts w:ascii="Calibri" w:eastAsia="Times New Roman" w:hAnsi="Calibri" w:cs="Arial"/>
                <w:b/>
                <w:i/>
                <w:smallCaps/>
                <w:sz w:val="20"/>
                <w:szCs w:val="20"/>
                <w14:shadow w14:blurRad="50800" w14:dist="38100" w14:dir="2700000" w14:sx="100000" w14:sy="100000" w14:kx="0" w14:ky="0" w14:algn="tl">
                  <w14:srgbClr w14:val="000000">
                    <w14:alpha w14:val="60000"/>
                  </w14:srgbClr>
                </w14:shadow>
              </w:rPr>
            </w:pPr>
            <w:bookmarkStart w:id="5" w:name="_Toc462152574"/>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lastRenderedPageBreak/>
              <w:t xml:space="preserve">Reference – </w:t>
            </w:r>
            <w:r w:rsidRPr="00BE4B16">
              <w:rPr>
                <w:rFonts w:ascii="Calibri" w:eastAsia="Times New Roman" w:hAnsi="Calibri" w:cs="Arial"/>
                <w:b/>
                <w:i/>
                <w:smallCaps/>
                <w:sz w:val="20"/>
                <w:szCs w:val="44"/>
                <w14:shadow w14:blurRad="50800" w14:dist="38100" w14:dir="2700000" w14:sx="100000" w14:sy="100000" w14:kx="0" w14:ky="0" w14:algn="tl">
                  <w14:srgbClr w14:val="000000">
                    <w14:alpha w14:val="60000"/>
                  </w14:srgbClr>
                </w14:shadow>
              </w:rPr>
              <w:t>TRI-Agency Framework</w:t>
            </w:r>
            <w:bookmarkEnd w:id="5"/>
          </w:p>
        </w:tc>
      </w:tr>
      <w:tr w:rsidR="00BE4B16" w:rsidRPr="00BE4B16" w:rsidTr="00E608F8">
        <w:tc>
          <w:tcPr>
            <w:tcW w:w="9350" w:type="dxa"/>
            <w:shd w:val="clear" w:color="auto" w:fill="D9D9D9" w:themeFill="background1" w:themeFillShade="D9"/>
          </w:tcPr>
          <w:p w:rsidR="00BE4B16" w:rsidRPr="00BE4B16" w:rsidRDefault="00BE4B16" w:rsidP="00BE4B16">
            <w:pPr>
              <w:spacing w:before="20" w:after="20"/>
              <w:outlineLvl w:val="0"/>
              <w:rPr>
                <w:rFonts w:ascii="Calibri" w:eastAsia="Times New Roman" w:hAnsi="Calibri" w:cs="Arial"/>
                <w:b/>
                <w:smallCaps/>
                <w14:shadow w14:blurRad="50800" w14:dist="38100" w14:dir="2700000" w14:sx="100000" w14:sy="100000" w14:kx="0" w14:ky="0" w14:algn="tl">
                  <w14:srgbClr w14:val="000000">
                    <w14:alpha w14:val="60000"/>
                  </w14:srgbClr>
                </w14:shadow>
              </w:rPr>
            </w:pPr>
            <w:bookmarkStart w:id="6" w:name="_Toc462152575"/>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IM Compliance Requirements</w:t>
            </w:r>
            <w:bookmarkEnd w:id="6"/>
          </w:p>
        </w:tc>
      </w:tr>
      <w:tr w:rsidR="00BE4B16" w:rsidRPr="00BE4B16" w:rsidTr="00E608F8">
        <w:tc>
          <w:tcPr>
            <w:tcW w:w="9350" w:type="dxa"/>
          </w:tcPr>
          <w:p w:rsidR="00BE4B16" w:rsidRPr="00BE4B16" w:rsidRDefault="00BE4B16" w:rsidP="00BE4B16">
            <w:pPr>
              <w:spacing w:before="120" w:after="120"/>
              <w:rPr>
                <w:sz w:val="20"/>
                <w:szCs w:val="20"/>
                <w:lang w:val="en-US"/>
              </w:rPr>
            </w:pPr>
            <w:r w:rsidRPr="00BE4B16">
              <w:rPr>
                <w:bCs/>
                <w:i/>
                <w:sz w:val="20"/>
                <w:szCs w:val="20"/>
              </w:rPr>
              <w:t xml:space="preserve">TRI-Agency Framework </w:t>
            </w:r>
            <w:r w:rsidRPr="00BE4B16">
              <w:rPr>
                <w:sz w:val="20"/>
                <w:szCs w:val="20"/>
                <w:lang w:val="en-US"/>
              </w:rPr>
              <w:t xml:space="preserve">defines the </w:t>
            </w:r>
            <w:r w:rsidRPr="00BE4B16">
              <w:rPr>
                <w:color w:val="000000"/>
                <w:sz w:val="20"/>
                <w:szCs w:val="20"/>
                <w:lang w:val="en"/>
              </w:rPr>
              <w:t>responsibilities and</w:t>
            </w:r>
            <w:r w:rsidRPr="00BE4B16">
              <w:rPr>
                <w:sz w:val="20"/>
                <w:szCs w:val="20"/>
                <w:lang w:val="en-US"/>
              </w:rPr>
              <w:t xml:space="preserve"> </w:t>
            </w:r>
            <w:r w:rsidRPr="00BE4B16">
              <w:rPr>
                <w:color w:val="000000"/>
                <w:sz w:val="20"/>
                <w:szCs w:val="20"/>
                <w:lang w:val="en"/>
              </w:rPr>
              <w:t>corresponding policies for researchers, Institutions, and the Agencies</w:t>
            </w:r>
            <w:r w:rsidRPr="00BE4B16">
              <w:rPr>
                <w:sz w:val="20"/>
                <w:szCs w:val="20"/>
                <w:lang w:val="en-US"/>
              </w:rPr>
              <w:t xml:space="preserve">. </w:t>
            </w:r>
            <w:r w:rsidRPr="00BE4B16">
              <w:rPr>
                <w:sz w:val="20"/>
                <w:szCs w:val="20"/>
                <w:u w:val="single"/>
                <w:lang w:val="en-US"/>
              </w:rPr>
              <w:t>Examples</w:t>
            </w:r>
            <w:r w:rsidRPr="00BE4B16">
              <w:rPr>
                <w:sz w:val="20"/>
                <w:szCs w:val="20"/>
                <w:lang w:val="en-US"/>
              </w:rPr>
              <w:t xml:space="preserve"> of IM Compliance Requirements are as follows:</w:t>
            </w:r>
            <w:r w:rsidRPr="00BE4B16">
              <w:rPr>
                <w:color w:val="000000"/>
                <w:sz w:val="20"/>
                <w:szCs w:val="20"/>
                <w:lang w:val="en"/>
              </w:rPr>
              <w:t xml:space="preserve"> </w:t>
            </w:r>
          </w:p>
          <w:p w:rsidR="00BE4B16" w:rsidRPr="00BE4B16" w:rsidRDefault="00BE4B16" w:rsidP="00BE4B16">
            <w:pPr>
              <w:keepNext/>
              <w:keepLines/>
              <w:spacing w:before="120" w:after="120"/>
              <w:outlineLvl w:val="8"/>
              <w:rPr>
                <w:b/>
                <w:bCs/>
                <w:i/>
                <w:sz w:val="20"/>
                <w:szCs w:val="20"/>
              </w:rPr>
            </w:pPr>
            <w:r w:rsidRPr="00BE4B16">
              <w:rPr>
                <w:b/>
                <w:bCs/>
                <w:i/>
                <w:sz w:val="20"/>
                <w:szCs w:val="20"/>
              </w:rPr>
              <w:t>Responsible Conduct of Research</w:t>
            </w:r>
          </w:p>
          <w:p w:rsidR="00BE4B16" w:rsidRPr="00BE4B16" w:rsidRDefault="00BE4B16" w:rsidP="00BE4B16">
            <w:pPr>
              <w:keepNext/>
              <w:keepLines/>
              <w:spacing w:before="120" w:after="120"/>
              <w:outlineLvl w:val="8"/>
              <w:rPr>
                <w:b/>
                <w:bCs/>
                <w:sz w:val="20"/>
                <w:szCs w:val="20"/>
              </w:rPr>
            </w:pPr>
            <w:r w:rsidRPr="00BE4B16">
              <w:rPr>
                <w:b/>
                <w:bCs/>
                <w:sz w:val="20"/>
                <w:szCs w:val="20"/>
              </w:rPr>
              <w:t>4.  Responsibilities of Institutions</w:t>
            </w:r>
          </w:p>
          <w:p w:rsidR="00BE4B16" w:rsidRPr="00BE4B16" w:rsidRDefault="00BE4B16" w:rsidP="00BE4B16">
            <w:pPr>
              <w:keepNext/>
              <w:keepLines/>
              <w:spacing w:before="120" w:after="120"/>
              <w:outlineLvl w:val="8"/>
              <w:rPr>
                <w:b/>
                <w:bCs/>
                <w:sz w:val="20"/>
                <w:szCs w:val="20"/>
              </w:rPr>
            </w:pPr>
            <w:r w:rsidRPr="00BE4B16">
              <w:rPr>
                <w:b/>
                <w:bCs/>
                <w:sz w:val="20"/>
                <w:szCs w:val="20"/>
              </w:rPr>
              <w:t>4.3 Institutional Policy Requirements for Addressing Allegations of Policy Breaches</w:t>
            </w:r>
          </w:p>
          <w:p w:rsidR="00BE4B16" w:rsidRPr="00BE4B16" w:rsidRDefault="00BE4B16" w:rsidP="00BE4B16">
            <w:pPr>
              <w:keepNext/>
              <w:keepLines/>
              <w:spacing w:before="120" w:after="120"/>
              <w:outlineLvl w:val="8"/>
              <w:rPr>
                <w:color w:val="000000"/>
                <w:sz w:val="20"/>
                <w:szCs w:val="20"/>
                <w:lang w:val="en"/>
              </w:rPr>
            </w:pPr>
            <w:r w:rsidRPr="00BE4B16">
              <w:rPr>
                <w:color w:val="000000"/>
                <w:sz w:val="20"/>
                <w:szCs w:val="20"/>
                <w:lang w:val="en"/>
              </w:rPr>
              <w:t xml:space="preserve">The Institution </w:t>
            </w:r>
            <w:r w:rsidRPr="00BE4B16">
              <w:rPr>
                <w:color w:val="000000"/>
                <w:sz w:val="20"/>
                <w:szCs w:val="20"/>
                <w:u w:val="single"/>
                <w:lang w:val="en"/>
              </w:rPr>
              <w:t xml:space="preserve">shall develop and administer a </w:t>
            </w:r>
            <w:proofErr w:type="gramStart"/>
            <w:r w:rsidRPr="00BE4B16">
              <w:rPr>
                <w:color w:val="000000"/>
                <w:sz w:val="20"/>
                <w:szCs w:val="20"/>
                <w:u w:val="single"/>
                <w:lang w:val="en"/>
              </w:rPr>
              <w:t>policy(</w:t>
            </w:r>
            <w:proofErr w:type="spellStart"/>
            <w:proofErr w:type="gramEnd"/>
            <w:r w:rsidRPr="00BE4B16">
              <w:rPr>
                <w:color w:val="000000"/>
                <w:sz w:val="20"/>
                <w:szCs w:val="20"/>
                <w:u w:val="single"/>
                <w:lang w:val="en"/>
              </w:rPr>
              <w:t>ies</w:t>
            </w:r>
            <w:proofErr w:type="spellEnd"/>
            <w:r w:rsidRPr="00BE4B16">
              <w:rPr>
                <w:color w:val="000000"/>
                <w:sz w:val="20"/>
                <w:szCs w:val="20"/>
                <w:u w:val="single"/>
                <w:lang w:val="en"/>
              </w:rPr>
              <w:t>) to address allegations of policy breaches</w:t>
            </w:r>
            <w:r w:rsidRPr="00BE4B16">
              <w:rPr>
                <w:color w:val="000000"/>
                <w:sz w:val="20"/>
                <w:szCs w:val="20"/>
                <w:lang w:val="en"/>
              </w:rPr>
              <w:t xml:space="preserve"> by researchers that meets the minimum requirements set out in the Framework.</w:t>
            </w:r>
          </w:p>
          <w:p w:rsidR="00BE4B16" w:rsidRPr="00BE4B16" w:rsidRDefault="00BE4B16" w:rsidP="00BE4B16">
            <w:pPr>
              <w:keepNext/>
              <w:keepLines/>
              <w:spacing w:before="120" w:after="120"/>
              <w:outlineLvl w:val="8"/>
              <w:rPr>
                <w:color w:val="000000"/>
                <w:sz w:val="20"/>
                <w:szCs w:val="20"/>
                <w:lang w:val="en"/>
              </w:rPr>
            </w:pPr>
            <w:r w:rsidRPr="00BE4B16">
              <w:rPr>
                <w:b/>
                <w:bCs/>
                <w:i/>
                <w:iCs/>
                <w:color w:val="000000"/>
                <w:kern w:val="36"/>
                <w:sz w:val="20"/>
                <w:szCs w:val="20"/>
                <w:lang w:val="en"/>
              </w:rPr>
              <w:t>Tri-Agency Financial Administration Guide</w:t>
            </w:r>
          </w:p>
          <w:p w:rsidR="00BE4B16" w:rsidRPr="00BE4B16" w:rsidRDefault="00BE4B16" w:rsidP="00BE4B16">
            <w:pPr>
              <w:keepNext/>
              <w:keepLines/>
              <w:spacing w:before="120" w:after="120"/>
              <w:outlineLvl w:val="8"/>
              <w:rPr>
                <w:sz w:val="20"/>
                <w:szCs w:val="20"/>
                <w:lang w:val="en"/>
              </w:rPr>
            </w:pPr>
            <w:r w:rsidRPr="00BE4B16">
              <w:rPr>
                <w:sz w:val="20"/>
                <w:szCs w:val="20"/>
                <w:lang w:val="en"/>
              </w:rPr>
              <w:t>Agreement on the Administration of Agency Grants and Awards by Research Institutions</w:t>
            </w:r>
          </w:p>
          <w:p w:rsidR="00BE4B16" w:rsidRPr="00BE4B16" w:rsidRDefault="00BE4B16" w:rsidP="00BE4B16">
            <w:pPr>
              <w:keepNext/>
              <w:keepLines/>
              <w:spacing w:before="120" w:after="120"/>
              <w:outlineLvl w:val="2"/>
              <w:rPr>
                <w:rFonts w:eastAsiaTheme="majorEastAsia" w:cstheme="majorBidi"/>
                <w:b/>
                <w:sz w:val="20"/>
                <w:szCs w:val="20"/>
                <w:lang w:val="en"/>
              </w:rPr>
            </w:pPr>
            <w:bookmarkStart w:id="7" w:name="_Toc462152576"/>
            <w:r w:rsidRPr="00BE4B16">
              <w:rPr>
                <w:rFonts w:eastAsiaTheme="majorEastAsia" w:cstheme="majorBidi"/>
                <w:b/>
                <w:sz w:val="20"/>
                <w:szCs w:val="20"/>
                <w:lang w:val="en"/>
              </w:rPr>
              <w:t>3.3 Financial Administration</w:t>
            </w:r>
            <w:bookmarkEnd w:id="7"/>
          </w:p>
          <w:p w:rsidR="00BE4B16" w:rsidRPr="00BE4B16" w:rsidRDefault="00BE4B16" w:rsidP="00BE4B16">
            <w:pPr>
              <w:numPr>
                <w:ilvl w:val="0"/>
                <w:numId w:val="2"/>
              </w:numPr>
              <w:spacing w:before="120" w:after="120"/>
              <w:rPr>
                <w:sz w:val="20"/>
                <w:szCs w:val="20"/>
                <w:lang w:val="en"/>
              </w:rPr>
            </w:pPr>
            <w:r w:rsidRPr="00BE4B16">
              <w:rPr>
                <w:sz w:val="20"/>
                <w:szCs w:val="20"/>
                <w:lang w:val="en"/>
              </w:rPr>
              <w:t xml:space="preserve">The Institution shall: </w:t>
            </w:r>
          </w:p>
          <w:p w:rsidR="00BE4B16" w:rsidRPr="00BE4B16" w:rsidRDefault="00BE4B16" w:rsidP="00BE4B16">
            <w:pPr>
              <w:numPr>
                <w:ilvl w:val="0"/>
                <w:numId w:val="3"/>
              </w:numPr>
              <w:spacing w:before="120" w:after="120"/>
              <w:rPr>
                <w:sz w:val="20"/>
                <w:szCs w:val="20"/>
                <w:lang w:val="en"/>
              </w:rPr>
            </w:pPr>
            <w:r w:rsidRPr="00BE4B16">
              <w:rPr>
                <w:sz w:val="20"/>
                <w:szCs w:val="20"/>
                <w:lang w:val="en"/>
              </w:rPr>
              <w:t xml:space="preserve">for each Grant and Award: </w:t>
            </w:r>
          </w:p>
          <w:p w:rsidR="00BE4B16" w:rsidRPr="00BE4B16" w:rsidRDefault="00BE4B16" w:rsidP="00BE4B16">
            <w:pPr>
              <w:numPr>
                <w:ilvl w:val="2"/>
                <w:numId w:val="3"/>
              </w:numPr>
              <w:spacing w:before="120" w:after="120"/>
              <w:rPr>
                <w:sz w:val="20"/>
                <w:szCs w:val="20"/>
                <w:lang w:val="en"/>
              </w:rPr>
            </w:pPr>
            <w:r w:rsidRPr="00BE4B16">
              <w:rPr>
                <w:sz w:val="20"/>
                <w:szCs w:val="20"/>
                <w:lang w:val="en"/>
              </w:rPr>
              <w:t>maintain a separate account;</w:t>
            </w:r>
          </w:p>
          <w:p w:rsidR="00BE4B16" w:rsidRPr="00BE4B16" w:rsidRDefault="00BE4B16" w:rsidP="00BE4B16">
            <w:pPr>
              <w:numPr>
                <w:ilvl w:val="2"/>
                <w:numId w:val="3"/>
              </w:numPr>
              <w:spacing w:before="120" w:after="120"/>
              <w:rPr>
                <w:sz w:val="20"/>
                <w:szCs w:val="20"/>
                <w:lang w:val="en"/>
              </w:rPr>
            </w:pPr>
            <w:r w:rsidRPr="00BE4B16">
              <w:rPr>
                <w:sz w:val="20"/>
                <w:szCs w:val="20"/>
                <w:lang w:val="en"/>
              </w:rPr>
              <w:t xml:space="preserve">ensure that each expenditure and charge made to the Grant or Award account is </w:t>
            </w:r>
            <w:r w:rsidRPr="00BE4B16">
              <w:rPr>
                <w:sz w:val="20"/>
                <w:szCs w:val="20"/>
                <w:u w:val="single"/>
                <w:lang w:val="en"/>
              </w:rPr>
              <w:t>authorized by the Recipient</w:t>
            </w:r>
            <w:r w:rsidRPr="00BE4B16">
              <w:rPr>
                <w:sz w:val="20"/>
                <w:szCs w:val="20"/>
                <w:lang w:val="en"/>
              </w:rPr>
              <w:t>, or by their delegate if the delegation is clearly documented; and</w:t>
            </w:r>
          </w:p>
          <w:p w:rsidR="00BE4B16" w:rsidRPr="00BE4B16" w:rsidRDefault="00BE4B16" w:rsidP="00BE4B16">
            <w:pPr>
              <w:numPr>
                <w:ilvl w:val="2"/>
                <w:numId w:val="3"/>
              </w:numPr>
              <w:spacing w:before="120" w:after="120"/>
              <w:ind w:hanging="181"/>
              <w:rPr>
                <w:sz w:val="20"/>
                <w:szCs w:val="20"/>
                <w:lang w:val="en"/>
              </w:rPr>
            </w:pPr>
            <w:r w:rsidRPr="00BE4B16">
              <w:rPr>
                <w:sz w:val="20"/>
                <w:szCs w:val="20"/>
                <w:u w:val="single"/>
                <w:lang w:val="en"/>
              </w:rPr>
              <w:t>keep complete and accurate records</w:t>
            </w:r>
            <w:r w:rsidRPr="00BE4B16">
              <w:rPr>
                <w:sz w:val="20"/>
                <w:szCs w:val="20"/>
                <w:lang w:val="en"/>
              </w:rPr>
              <w:t xml:space="preserve"> on the use of Agency funding, including verifiable audit trails with complete supporting documentation for each transaction, for </w:t>
            </w:r>
            <w:r w:rsidRPr="00BE4B16">
              <w:rPr>
                <w:sz w:val="20"/>
                <w:szCs w:val="20"/>
                <w:u w:val="single"/>
                <w:lang w:val="en"/>
              </w:rPr>
              <w:t>at least seven years</w:t>
            </w:r>
            <w:r w:rsidRPr="00BE4B16">
              <w:rPr>
                <w:sz w:val="20"/>
                <w:szCs w:val="20"/>
                <w:lang w:val="en"/>
              </w:rPr>
              <w:t>;</w:t>
            </w:r>
          </w:p>
        </w:tc>
      </w:tr>
    </w:tbl>
    <w:p w:rsidR="00BE4B16" w:rsidRPr="00BE4B16" w:rsidRDefault="00BE4B16" w:rsidP="00BE4B16">
      <w:r w:rsidRPr="00BE4B16">
        <w:rPr>
          <w:b/>
          <w:smallCaps/>
        </w:rPr>
        <w:br w:type="page"/>
      </w:r>
    </w:p>
    <w:tbl>
      <w:tblPr>
        <w:tblStyle w:val="TableGrid"/>
        <w:tblW w:w="0" w:type="auto"/>
        <w:tblLook w:val="04A0" w:firstRow="1" w:lastRow="0" w:firstColumn="1" w:lastColumn="0" w:noHBand="0" w:noVBand="1"/>
      </w:tblPr>
      <w:tblGrid>
        <w:gridCol w:w="9350"/>
      </w:tblGrid>
      <w:tr w:rsidR="00BE4B16" w:rsidRPr="00BE4B16" w:rsidTr="00E608F8">
        <w:tc>
          <w:tcPr>
            <w:tcW w:w="9350" w:type="dxa"/>
            <w:shd w:val="clear" w:color="auto" w:fill="632423" w:themeFill="accent2" w:themeFillShade="80"/>
          </w:tcPr>
          <w:p w:rsidR="00BE4B16" w:rsidRPr="00BE4B16" w:rsidRDefault="00BE4B16" w:rsidP="00BE4B16">
            <w:pPr>
              <w:spacing w:before="20" w:after="20"/>
              <w:jc w:val="center"/>
              <w:outlineLvl w:val="0"/>
              <w:rPr>
                <w:rFonts w:ascii="Calibri" w:eastAsia="Times New Roman" w:hAnsi="Calibri" w:cs="Arial"/>
                <w:b/>
                <w:smallCaps/>
                <w14:shadow w14:blurRad="50800" w14:dist="38100" w14:dir="2700000" w14:sx="100000" w14:sy="100000" w14:kx="0" w14:ky="0" w14:algn="tl">
                  <w14:srgbClr w14:val="000000">
                    <w14:alpha w14:val="60000"/>
                  </w14:srgbClr>
                </w14:shadow>
              </w:rPr>
            </w:pPr>
            <w:bookmarkStart w:id="8" w:name="_Toc462152577"/>
            <w:r w:rsidRPr="00BE4B16">
              <w:rPr>
                <w:rFonts w:ascii="Calibri" w:eastAsia="Times New Roman" w:hAnsi="Calibri" w:cs="Arial"/>
                <w:color w:val="FFFFFF" w:themeColor="background1"/>
                <w:sz w:val="32"/>
                <w:szCs w:val="32"/>
                <w14:shadow w14:blurRad="50800" w14:dist="38100" w14:dir="2700000" w14:sx="100000" w14:sy="100000" w14:kx="0" w14:ky="0" w14:algn="tl">
                  <w14:srgbClr w14:val="000000">
                    <w14:alpha w14:val="60000"/>
                  </w14:srgbClr>
                </w14:shadow>
              </w:rPr>
              <w:lastRenderedPageBreak/>
              <w:t>IM Legal and Regulatory Framework</w:t>
            </w:r>
            <w:bookmarkEnd w:id="8"/>
          </w:p>
        </w:tc>
      </w:tr>
      <w:tr w:rsidR="00BE4B16" w:rsidRPr="00BE4B16" w:rsidTr="00E608F8">
        <w:tc>
          <w:tcPr>
            <w:tcW w:w="9350" w:type="dxa"/>
            <w:shd w:val="clear" w:color="auto" w:fill="D9D9D9" w:themeFill="background1" w:themeFillShade="D9"/>
          </w:tcPr>
          <w:p w:rsidR="00BE4B16" w:rsidRPr="00BE4B16" w:rsidRDefault="00BE4B16" w:rsidP="00BE4B16">
            <w:pPr>
              <w:spacing w:before="20" w:after="20"/>
              <w:outlineLvl w:val="0"/>
              <w:rPr>
                <w:rFonts w:ascii="Calibri" w:eastAsia="Times New Roman" w:hAnsi="Calibri" w:cs="Arial"/>
                <w:b/>
                <w:i/>
                <w:smallCaps/>
                <w:sz w:val="20"/>
                <w:szCs w:val="20"/>
                <w14:shadow w14:blurRad="50800" w14:dist="38100" w14:dir="2700000" w14:sx="100000" w14:sy="100000" w14:kx="0" w14:ky="0" w14:algn="tl">
                  <w14:srgbClr w14:val="000000">
                    <w14:alpha w14:val="60000"/>
                  </w14:srgbClr>
                </w14:shadow>
              </w:rPr>
            </w:pPr>
            <w:bookmarkStart w:id="9" w:name="_Toc462152578"/>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 xml:space="preserve">Reference – </w:t>
            </w:r>
            <w:r w:rsidRPr="00BE4B16">
              <w:rPr>
                <w:rFonts w:ascii="Calibri" w:eastAsia="Times New Roman" w:hAnsi="Calibri" w:cs="Arial"/>
                <w:b/>
                <w:i/>
                <w:smallCaps/>
                <w:sz w:val="20"/>
                <w:szCs w:val="44"/>
                <w14:shadow w14:blurRad="50800" w14:dist="38100" w14:dir="2700000" w14:sx="100000" w14:sy="100000" w14:kx="0" w14:ky="0" w14:algn="tl">
                  <w14:srgbClr w14:val="000000">
                    <w14:alpha w14:val="60000"/>
                  </w14:srgbClr>
                </w14:shadow>
              </w:rPr>
              <w:t>Memorial University</w:t>
            </w:r>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 xml:space="preserve"> </w:t>
            </w:r>
            <w:r w:rsidRPr="00BE4B16">
              <w:rPr>
                <w:rFonts w:ascii="Calibri" w:eastAsia="Times New Roman" w:hAnsi="Calibri" w:cs="Arial"/>
                <w:b/>
                <w:i/>
                <w:smallCaps/>
                <w:sz w:val="20"/>
                <w:szCs w:val="44"/>
                <w14:shadow w14:blurRad="50800" w14:dist="38100" w14:dir="2700000" w14:sx="100000" w14:sy="100000" w14:kx="0" w14:ky="0" w14:algn="tl">
                  <w14:srgbClr w14:val="000000">
                    <w14:alpha w14:val="60000"/>
                  </w14:srgbClr>
                </w14:shadow>
              </w:rPr>
              <w:t>Information Management Policy</w:t>
            </w:r>
            <w:bookmarkEnd w:id="9"/>
          </w:p>
        </w:tc>
      </w:tr>
      <w:tr w:rsidR="00BE4B16" w:rsidRPr="00BE4B16" w:rsidTr="00E608F8">
        <w:tc>
          <w:tcPr>
            <w:tcW w:w="9350" w:type="dxa"/>
            <w:shd w:val="clear" w:color="auto" w:fill="D9D9D9" w:themeFill="background1" w:themeFillShade="D9"/>
          </w:tcPr>
          <w:p w:rsidR="00BE4B16" w:rsidRPr="00BE4B16" w:rsidRDefault="00BE4B16" w:rsidP="00BE4B16">
            <w:pPr>
              <w:spacing w:before="20" w:after="20"/>
              <w:outlineLvl w:val="0"/>
              <w:rPr>
                <w:rFonts w:ascii="Calibri" w:eastAsia="Times New Roman" w:hAnsi="Calibri" w:cs="Arial"/>
                <w:b/>
                <w:smallCaps/>
                <w14:shadow w14:blurRad="50800" w14:dist="38100" w14:dir="2700000" w14:sx="100000" w14:sy="100000" w14:kx="0" w14:ky="0" w14:algn="tl">
                  <w14:srgbClr w14:val="000000">
                    <w14:alpha w14:val="60000"/>
                  </w14:srgbClr>
                </w14:shadow>
              </w:rPr>
            </w:pPr>
            <w:bookmarkStart w:id="10" w:name="_Toc462152579"/>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IM Compliance Requirements</w:t>
            </w:r>
            <w:bookmarkEnd w:id="10"/>
          </w:p>
        </w:tc>
      </w:tr>
      <w:tr w:rsidR="00BE4B16" w:rsidRPr="00BE4B16" w:rsidTr="00E608F8">
        <w:tc>
          <w:tcPr>
            <w:tcW w:w="9350" w:type="dxa"/>
          </w:tcPr>
          <w:p w:rsidR="00BE4B16" w:rsidRPr="00BE4B16" w:rsidRDefault="00BE4B16" w:rsidP="00BE4B16">
            <w:pPr>
              <w:spacing w:before="120" w:after="120"/>
              <w:rPr>
                <w:rFonts w:cs="Arial"/>
                <w:color w:val="333333"/>
                <w:sz w:val="20"/>
                <w:szCs w:val="20"/>
              </w:rPr>
            </w:pPr>
            <w:r w:rsidRPr="00BE4B16">
              <w:rPr>
                <w:bCs/>
                <w:i/>
                <w:sz w:val="20"/>
                <w:szCs w:val="20"/>
              </w:rPr>
              <w:t>The purpose of the IM Policy is t</w:t>
            </w:r>
            <w:r w:rsidRPr="00BE4B16">
              <w:rPr>
                <w:rFonts w:cs="Arial"/>
                <w:color w:val="333333"/>
                <w:sz w:val="20"/>
                <w:szCs w:val="20"/>
              </w:rPr>
              <w:t>o manage and protect University Records created in the conduct of University activities in accordance with relevant legislation, University policy, standards, guidelines and procedures.</w:t>
            </w:r>
          </w:p>
          <w:p w:rsidR="00BE4B16" w:rsidRPr="00BE4B16" w:rsidRDefault="00BE4B16" w:rsidP="00BE4B16">
            <w:pPr>
              <w:numPr>
                <w:ilvl w:val="0"/>
                <w:numId w:val="1"/>
              </w:numPr>
              <w:spacing w:before="120" w:after="120"/>
              <w:rPr>
                <w:bCs/>
                <w:i/>
                <w:sz w:val="20"/>
                <w:szCs w:val="20"/>
              </w:rPr>
            </w:pPr>
            <w:r w:rsidRPr="00BE4B16">
              <w:rPr>
                <w:rFonts w:cs="Arial"/>
                <w:color w:val="333333"/>
                <w:sz w:val="20"/>
                <w:szCs w:val="20"/>
              </w:rPr>
              <w:t>Information management is a shared responsibility:</w:t>
            </w:r>
          </w:p>
          <w:p w:rsidR="00BE4B16" w:rsidRPr="00BE4B16" w:rsidRDefault="00BE4B16" w:rsidP="00BE4B16">
            <w:pPr>
              <w:spacing w:before="120" w:after="120"/>
              <w:ind w:left="720"/>
              <w:rPr>
                <w:rFonts w:cs="Arial"/>
                <w:color w:val="333333"/>
                <w:sz w:val="20"/>
                <w:szCs w:val="20"/>
              </w:rPr>
            </w:pPr>
            <w:r w:rsidRPr="00BE4B16">
              <w:rPr>
                <w:rFonts w:cs="Arial"/>
                <w:color w:val="333333"/>
                <w:sz w:val="20"/>
                <w:szCs w:val="20"/>
              </w:rPr>
              <w:t xml:space="preserve">a) Members of the University Community are </w:t>
            </w:r>
            <w:r w:rsidRPr="00BE4B16">
              <w:rPr>
                <w:rFonts w:cs="Arial"/>
                <w:color w:val="333333"/>
                <w:sz w:val="20"/>
                <w:szCs w:val="20"/>
                <w:u w:val="single"/>
              </w:rPr>
              <w:t>responsible for the University Records they create or that are in their custody</w:t>
            </w:r>
            <w:r w:rsidRPr="00BE4B16">
              <w:rPr>
                <w:rFonts w:cs="Arial"/>
                <w:color w:val="333333"/>
                <w:sz w:val="20"/>
                <w:szCs w:val="20"/>
              </w:rPr>
              <w:t>.</w:t>
            </w:r>
          </w:p>
          <w:p w:rsidR="00BE4B16" w:rsidRPr="00BE4B16" w:rsidRDefault="00BE4B16" w:rsidP="00BE4B16">
            <w:pPr>
              <w:spacing w:before="120" w:after="120"/>
              <w:ind w:left="720"/>
              <w:rPr>
                <w:rFonts w:cs="Arial"/>
                <w:color w:val="333333"/>
                <w:sz w:val="20"/>
                <w:szCs w:val="20"/>
              </w:rPr>
            </w:pPr>
            <w:r w:rsidRPr="00BE4B16">
              <w:rPr>
                <w:rFonts w:cs="Arial"/>
                <w:color w:val="333333"/>
                <w:sz w:val="20"/>
                <w:szCs w:val="20"/>
              </w:rPr>
              <w:t>b) The OCIO is responsible for the Information Management and Protection Program of the University.</w:t>
            </w:r>
          </w:p>
          <w:p w:rsidR="00BE4B16" w:rsidRPr="00BE4B16" w:rsidRDefault="00BE4B16" w:rsidP="00BE4B16">
            <w:pPr>
              <w:spacing w:before="120" w:after="120"/>
              <w:ind w:left="720"/>
              <w:rPr>
                <w:rFonts w:cs="Arial"/>
                <w:color w:val="333333"/>
                <w:sz w:val="20"/>
                <w:szCs w:val="20"/>
              </w:rPr>
            </w:pPr>
            <w:r w:rsidRPr="00BE4B16">
              <w:rPr>
                <w:rFonts w:cs="Arial"/>
                <w:color w:val="333333"/>
                <w:sz w:val="20"/>
                <w:szCs w:val="20"/>
              </w:rPr>
              <w:t>c) Each Unit Head shall be responsible to ensure adherence to this policy.</w:t>
            </w:r>
          </w:p>
          <w:p w:rsidR="00BE4B16" w:rsidRPr="00BE4B16" w:rsidRDefault="00BE4B16" w:rsidP="00BE4B16">
            <w:pPr>
              <w:spacing w:before="120" w:after="120"/>
              <w:ind w:left="720"/>
              <w:rPr>
                <w:bCs/>
                <w:i/>
                <w:sz w:val="20"/>
                <w:szCs w:val="20"/>
              </w:rPr>
            </w:pPr>
            <w:r w:rsidRPr="00BE4B16">
              <w:rPr>
                <w:rFonts w:cs="Arial"/>
                <w:color w:val="333333"/>
                <w:sz w:val="20"/>
                <w:szCs w:val="20"/>
              </w:rPr>
              <w:t xml:space="preserve">d) Each Unit Head </w:t>
            </w:r>
            <w:r w:rsidRPr="00BE4B16">
              <w:rPr>
                <w:rFonts w:cs="Arial"/>
                <w:color w:val="333333"/>
                <w:sz w:val="20"/>
                <w:szCs w:val="20"/>
                <w:u w:val="single"/>
              </w:rPr>
              <w:t>shall designate an information management and protection lead</w:t>
            </w:r>
            <w:r w:rsidRPr="00BE4B16">
              <w:rPr>
                <w:rFonts w:cs="Arial"/>
                <w:color w:val="333333"/>
                <w:sz w:val="20"/>
                <w:szCs w:val="20"/>
              </w:rPr>
              <w:t xml:space="preserve"> to oversee operational matters and to liaise with the OCIO in matters related to implementation of and compliance with the policy. </w:t>
            </w:r>
          </w:p>
          <w:p w:rsidR="00BE4B16" w:rsidRPr="00BE4B16" w:rsidRDefault="00BE4B16" w:rsidP="00BE4B16">
            <w:pPr>
              <w:numPr>
                <w:ilvl w:val="0"/>
                <w:numId w:val="1"/>
              </w:numPr>
              <w:spacing w:before="120" w:after="120"/>
              <w:rPr>
                <w:bCs/>
                <w:i/>
                <w:sz w:val="20"/>
                <w:szCs w:val="20"/>
              </w:rPr>
            </w:pPr>
            <w:r w:rsidRPr="00BE4B16">
              <w:rPr>
                <w:rFonts w:cs="Arial"/>
                <w:color w:val="333333"/>
                <w:sz w:val="20"/>
                <w:szCs w:val="20"/>
              </w:rPr>
              <w:t xml:space="preserve">University Records are the sole property of the University and </w:t>
            </w:r>
            <w:r w:rsidRPr="00BE4B16">
              <w:rPr>
                <w:rFonts w:cs="Arial"/>
                <w:color w:val="333333"/>
                <w:sz w:val="20"/>
                <w:szCs w:val="20"/>
                <w:u w:val="single"/>
              </w:rPr>
              <w:t>must be managed throughout their Life Cycle</w:t>
            </w:r>
            <w:r w:rsidRPr="00BE4B16">
              <w:rPr>
                <w:rFonts w:cs="Arial"/>
                <w:color w:val="333333"/>
                <w:sz w:val="20"/>
                <w:szCs w:val="20"/>
              </w:rPr>
              <w:t xml:space="preserve"> by Members of the University Community who create or receive them.</w:t>
            </w:r>
          </w:p>
          <w:p w:rsidR="00BE4B16" w:rsidRPr="00BE4B16" w:rsidRDefault="00BE4B16" w:rsidP="00BE4B16">
            <w:pPr>
              <w:spacing w:before="120" w:after="120"/>
              <w:ind w:left="720"/>
              <w:rPr>
                <w:rFonts w:cs="Arial"/>
                <w:color w:val="333333"/>
                <w:sz w:val="20"/>
                <w:szCs w:val="20"/>
              </w:rPr>
            </w:pPr>
            <w:r w:rsidRPr="00BE4B16">
              <w:rPr>
                <w:rFonts w:cs="Arial"/>
                <w:color w:val="333333"/>
                <w:sz w:val="20"/>
                <w:szCs w:val="20"/>
              </w:rPr>
              <w:t>a) </w:t>
            </w:r>
            <w:r w:rsidRPr="00BE4B16">
              <w:rPr>
                <w:rFonts w:cs="Arial"/>
                <w:color w:val="333333"/>
                <w:sz w:val="20"/>
                <w:szCs w:val="20"/>
                <w:u w:val="single"/>
              </w:rPr>
              <w:t>University Records must be protected</w:t>
            </w:r>
            <w:r w:rsidRPr="00BE4B16">
              <w:rPr>
                <w:rFonts w:cs="Arial"/>
                <w:color w:val="333333"/>
                <w:sz w:val="20"/>
                <w:szCs w:val="20"/>
              </w:rPr>
              <w:t xml:space="preserve"> in accordance with the Security Measures section of the </w:t>
            </w:r>
            <w:hyperlink r:id="rId7" w:tgtFrame="_blank" w:history="1">
              <w:r w:rsidRPr="00BE4B16">
                <w:rPr>
                  <w:rFonts w:cs="Arial"/>
                  <w:color w:val="0000FF"/>
                  <w:sz w:val="20"/>
                  <w:szCs w:val="20"/>
                  <w:u w:val="single"/>
                </w:rPr>
                <w:t>Procedure for Administering Privacy Measures within a Unit</w:t>
              </w:r>
            </w:hyperlink>
            <w:r w:rsidRPr="00BE4B16">
              <w:rPr>
                <w:rFonts w:cs="Arial"/>
                <w:color w:val="333333"/>
                <w:sz w:val="20"/>
                <w:szCs w:val="20"/>
              </w:rPr>
              <w:t xml:space="preserve"> and the</w:t>
            </w:r>
            <w:r w:rsidRPr="00BE4B16">
              <w:rPr>
                <w:rFonts w:cs="Arial"/>
                <w:i/>
                <w:iCs/>
                <w:color w:val="333333"/>
                <w:sz w:val="20"/>
                <w:szCs w:val="20"/>
              </w:rPr>
              <w:t xml:space="preserve"> </w:t>
            </w:r>
            <w:hyperlink r:id="rId8" w:tgtFrame="_blank" w:history="1">
              <w:r w:rsidRPr="00BE4B16">
                <w:rPr>
                  <w:rFonts w:cs="Arial"/>
                  <w:i/>
                  <w:iCs/>
                  <w:color w:val="0000FF"/>
                  <w:sz w:val="20"/>
                  <w:szCs w:val="20"/>
                  <w:u w:val="single"/>
                </w:rPr>
                <w:t>Electronic Data Security</w:t>
              </w:r>
            </w:hyperlink>
            <w:r w:rsidRPr="00BE4B16">
              <w:rPr>
                <w:rFonts w:cs="Arial"/>
                <w:color w:val="333333"/>
                <w:sz w:val="20"/>
                <w:szCs w:val="20"/>
              </w:rPr>
              <w:t xml:space="preserve"> policy.</w:t>
            </w:r>
            <w:r w:rsidRPr="00BE4B16">
              <w:rPr>
                <w:rFonts w:cs="Arial"/>
                <w:color w:val="333333"/>
                <w:sz w:val="20"/>
                <w:szCs w:val="20"/>
              </w:rPr>
              <w:br/>
              <w:t xml:space="preserve">b) Official University Records </w:t>
            </w:r>
            <w:r w:rsidRPr="00BE4B16">
              <w:rPr>
                <w:rFonts w:cs="Arial"/>
                <w:color w:val="333333"/>
                <w:sz w:val="20"/>
                <w:szCs w:val="20"/>
                <w:u w:val="single"/>
              </w:rPr>
              <w:t>must be created in a manner and format that is accessible</w:t>
            </w:r>
            <w:r w:rsidRPr="00BE4B16">
              <w:rPr>
                <w:rFonts w:cs="Arial"/>
                <w:color w:val="333333"/>
                <w:sz w:val="20"/>
                <w:szCs w:val="20"/>
              </w:rPr>
              <w:t xml:space="preserve"> and </w:t>
            </w:r>
            <w:r w:rsidRPr="00BE4B16">
              <w:rPr>
                <w:rFonts w:cs="Arial"/>
                <w:color w:val="333333"/>
                <w:sz w:val="20"/>
                <w:szCs w:val="20"/>
                <w:u w:val="single"/>
              </w:rPr>
              <w:t>must be retained as required to support the University’s compliance with relevant legislation and policies</w:t>
            </w:r>
            <w:r w:rsidRPr="00BE4B16">
              <w:rPr>
                <w:rFonts w:cs="Arial"/>
                <w:color w:val="333333"/>
                <w:sz w:val="20"/>
                <w:szCs w:val="20"/>
              </w:rPr>
              <w:t>.</w:t>
            </w:r>
          </w:p>
          <w:p w:rsidR="00BE4B16" w:rsidRPr="00BE4B16" w:rsidRDefault="00BE4B16" w:rsidP="00BE4B16">
            <w:pPr>
              <w:spacing w:before="120" w:after="120"/>
              <w:ind w:left="720"/>
              <w:rPr>
                <w:rFonts w:cs="Arial"/>
                <w:color w:val="333333"/>
                <w:sz w:val="20"/>
                <w:szCs w:val="20"/>
              </w:rPr>
            </w:pPr>
            <w:r w:rsidRPr="00BE4B16">
              <w:rPr>
                <w:rFonts w:cs="Arial"/>
                <w:color w:val="333333"/>
                <w:sz w:val="20"/>
                <w:szCs w:val="20"/>
              </w:rPr>
              <w:t xml:space="preserve">c) Official University Records may not be removed from the control of the University, destroyed or otherwise disposed of except in accordance with a </w:t>
            </w:r>
            <w:r w:rsidRPr="00BE4B16">
              <w:rPr>
                <w:rFonts w:cs="Arial"/>
                <w:color w:val="333333"/>
                <w:sz w:val="20"/>
                <w:szCs w:val="20"/>
                <w:u w:val="single"/>
              </w:rPr>
              <w:t>Retention and Disposal Schedule</w:t>
            </w:r>
            <w:r w:rsidRPr="00BE4B16">
              <w:rPr>
                <w:rFonts w:cs="Arial"/>
                <w:color w:val="333333"/>
                <w:sz w:val="20"/>
                <w:szCs w:val="20"/>
              </w:rPr>
              <w:t xml:space="preserve"> as outlined in the </w:t>
            </w:r>
            <w:hyperlink r:id="rId9" w:tgtFrame="_blank" w:history="1">
              <w:r w:rsidRPr="00BE4B16">
                <w:rPr>
                  <w:rFonts w:cs="Arial"/>
                  <w:color w:val="0000FF"/>
                  <w:sz w:val="20"/>
                  <w:szCs w:val="20"/>
                  <w:u w:val="single"/>
                </w:rPr>
                <w:t>Procedure for Retention and Disposal Schedules</w:t>
              </w:r>
            </w:hyperlink>
            <w:r w:rsidRPr="00BE4B16">
              <w:rPr>
                <w:rFonts w:cs="Arial"/>
                <w:color w:val="333333"/>
                <w:sz w:val="20"/>
                <w:szCs w:val="20"/>
              </w:rPr>
              <w:t>.</w:t>
            </w:r>
          </w:p>
          <w:p w:rsidR="00BE4B16" w:rsidRPr="00BE4B16" w:rsidRDefault="00BE4B16" w:rsidP="00BE4B16">
            <w:pPr>
              <w:spacing w:before="120" w:after="120"/>
              <w:ind w:left="720"/>
              <w:rPr>
                <w:bCs/>
                <w:i/>
                <w:sz w:val="20"/>
                <w:szCs w:val="20"/>
              </w:rPr>
            </w:pPr>
            <w:r w:rsidRPr="00BE4B16">
              <w:rPr>
                <w:rFonts w:cs="Arial"/>
                <w:color w:val="333333"/>
                <w:sz w:val="20"/>
                <w:szCs w:val="20"/>
              </w:rPr>
              <w:t xml:space="preserve">d) Transitory University Records may not be removed from the control of the University, but when no longer required, </w:t>
            </w:r>
            <w:r w:rsidRPr="00BE4B16">
              <w:rPr>
                <w:rFonts w:cs="Arial"/>
                <w:color w:val="333333"/>
                <w:sz w:val="20"/>
                <w:szCs w:val="20"/>
                <w:u w:val="single"/>
              </w:rPr>
              <w:t>must be securely disposed</w:t>
            </w:r>
            <w:r w:rsidRPr="00BE4B16">
              <w:rPr>
                <w:rFonts w:cs="Arial"/>
                <w:color w:val="333333"/>
                <w:sz w:val="20"/>
                <w:szCs w:val="20"/>
              </w:rPr>
              <w:t xml:space="preserve"> in accordance with the </w:t>
            </w:r>
            <w:hyperlink r:id="rId10" w:tgtFrame="_blank" w:history="1">
              <w:r w:rsidRPr="00BE4B16">
                <w:rPr>
                  <w:rFonts w:cs="Arial"/>
                  <w:color w:val="0000FF"/>
                  <w:sz w:val="20"/>
                  <w:szCs w:val="20"/>
                  <w:u w:val="single"/>
                </w:rPr>
                <w:t>Procedure for Secure Disposal of Transitory University Records</w:t>
              </w:r>
            </w:hyperlink>
            <w:r w:rsidRPr="00BE4B16">
              <w:rPr>
                <w:rFonts w:cs="Arial"/>
                <w:color w:val="333333"/>
                <w:sz w:val="20"/>
                <w:szCs w:val="20"/>
              </w:rPr>
              <w:t>.</w:t>
            </w:r>
          </w:p>
          <w:p w:rsidR="00BE4B16" w:rsidRPr="00BE4B16" w:rsidRDefault="00BE4B16" w:rsidP="00BE4B16">
            <w:pPr>
              <w:numPr>
                <w:ilvl w:val="0"/>
                <w:numId w:val="1"/>
              </w:numPr>
              <w:spacing w:before="120" w:after="120" w:line="300" w:lineRule="atLeast"/>
              <w:ind w:left="714" w:hanging="357"/>
              <w:rPr>
                <w:rFonts w:eastAsia="Times New Roman" w:cs="Arial"/>
                <w:color w:val="333333"/>
                <w:sz w:val="20"/>
                <w:szCs w:val="20"/>
                <w:lang w:eastAsia="en-CA"/>
              </w:rPr>
            </w:pPr>
            <w:r w:rsidRPr="00BE4B16">
              <w:rPr>
                <w:rFonts w:eastAsia="Times New Roman" w:cs="Arial"/>
                <w:color w:val="333333"/>
                <w:sz w:val="20"/>
                <w:szCs w:val="20"/>
                <w:lang w:eastAsia="en-CA"/>
              </w:rPr>
              <w:t xml:space="preserve">The University </w:t>
            </w:r>
            <w:r w:rsidRPr="00BE4B16">
              <w:rPr>
                <w:rFonts w:eastAsia="Times New Roman" w:cs="Arial"/>
                <w:color w:val="333333"/>
                <w:sz w:val="20"/>
                <w:szCs w:val="20"/>
                <w:u w:val="single"/>
                <w:lang w:eastAsia="en-CA"/>
              </w:rPr>
              <w:t>may use external services</w:t>
            </w:r>
            <w:r w:rsidRPr="00BE4B16">
              <w:rPr>
                <w:rFonts w:eastAsia="Times New Roman" w:cs="Arial"/>
                <w:color w:val="333333"/>
                <w:sz w:val="20"/>
                <w:szCs w:val="20"/>
                <w:lang w:eastAsia="en-CA"/>
              </w:rPr>
              <w:t xml:space="preserve">, such as commercial record storage and Cloud storage and services, in accordance with related University policy. When considering the use of such external services to store Official University Records, </w:t>
            </w:r>
            <w:r w:rsidRPr="00BE4B16">
              <w:rPr>
                <w:rFonts w:eastAsia="Times New Roman" w:cs="Arial"/>
                <w:color w:val="333333"/>
                <w:sz w:val="20"/>
                <w:szCs w:val="20"/>
                <w:u w:val="single"/>
                <w:lang w:eastAsia="en-CA"/>
              </w:rPr>
              <w:t>Information Risk Assessments must be completed</w:t>
            </w:r>
            <w:r w:rsidRPr="00BE4B16">
              <w:rPr>
                <w:rFonts w:eastAsia="Times New Roman" w:cs="Arial"/>
                <w:color w:val="333333"/>
                <w:sz w:val="20"/>
                <w:szCs w:val="20"/>
                <w:lang w:eastAsia="en-CA"/>
              </w:rPr>
              <w:t>.</w:t>
            </w:r>
          </w:p>
          <w:p w:rsidR="00BE4B16" w:rsidRPr="00BE4B16" w:rsidRDefault="00BE4B16" w:rsidP="00BE4B16">
            <w:pPr>
              <w:numPr>
                <w:ilvl w:val="0"/>
                <w:numId w:val="1"/>
              </w:numPr>
              <w:spacing w:before="120" w:after="120" w:line="300" w:lineRule="atLeast"/>
              <w:rPr>
                <w:rFonts w:cs="Arial"/>
                <w:color w:val="333333"/>
                <w:sz w:val="20"/>
                <w:szCs w:val="20"/>
              </w:rPr>
            </w:pPr>
            <w:r w:rsidRPr="00BE4B16">
              <w:rPr>
                <w:rFonts w:cs="Arial"/>
                <w:color w:val="333333"/>
                <w:sz w:val="20"/>
                <w:szCs w:val="20"/>
              </w:rPr>
              <w:t xml:space="preserve">In the event of any of the following circumstances, </w:t>
            </w:r>
            <w:r w:rsidRPr="00BE4B16">
              <w:rPr>
                <w:rFonts w:cs="Arial"/>
                <w:color w:val="333333"/>
                <w:sz w:val="20"/>
                <w:szCs w:val="20"/>
                <w:u w:val="single"/>
              </w:rPr>
              <w:t>disposal of relevant University Records must be suspended</w:t>
            </w:r>
            <w:proofErr w:type="gramStart"/>
            <w:r w:rsidRPr="00BE4B16">
              <w:rPr>
                <w:rFonts w:cs="Arial"/>
                <w:color w:val="333333"/>
                <w:sz w:val="20"/>
                <w:szCs w:val="20"/>
              </w:rPr>
              <w:t>:</w:t>
            </w:r>
            <w:proofErr w:type="gramEnd"/>
            <w:r w:rsidRPr="00BE4B16">
              <w:rPr>
                <w:rFonts w:cs="Arial"/>
                <w:color w:val="333333"/>
                <w:sz w:val="20"/>
                <w:szCs w:val="20"/>
              </w:rPr>
              <w:br/>
              <w:t>a) Notice of litigation or criminal investigation,</w:t>
            </w:r>
            <w:r w:rsidRPr="00BE4B16">
              <w:rPr>
                <w:rFonts w:cs="Arial"/>
                <w:color w:val="333333"/>
                <w:sz w:val="20"/>
                <w:szCs w:val="20"/>
              </w:rPr>
              <w:br/>
              <w:t>b) Notice of an audit,</w:t>
            </w:r>
            <w:r w:rsidRPr="00BE4B16">
              <w:rPr>
                <w:rFonts w:cs="Arial"/>
                <w:color w:val="333333"/>
                <w:sz w:val="20"/>
                <w:szCs w:val="20"/>
              </w:rPr>
              <w:br/>
              <w:t>c) Receipt of an ATIPP Request,</w:t>
            </w:r>
            <w:r w:rsidRPr="00BE4B16">
              <w:rPr>
                <w:rFonts w:cs="Arial"/>
                <w:color w:val="333333"/>
                <w:sz w:val="20"/>
                <w:szCs w:val="20"/>
              </w:rPr>
              <w:br/>
              <w:t>d) When there is reasonable belief that litigation or criminal investigation may occur, and</w:t>
            </w:r>
            <w:r w:rsidRPr="00BE4B16">
              <w:rPr>
                <w:rFonts w:cs="Arial"/>
                <w:color w:val="333333"/>
                <w:sz w:val="20"/>
                <w:szCs w:val="20"/>
              </w:rPr>
              <w:br/>
              <w:t>e) Initiation of a grievance or investigation pursuant to a University policy or collective agreement.</w:t>
            </w:r>
          </w:p>
          <w:p w:rsidR="00BE4B16" w:rsidRPr="00BE4B16" w:rsidRDefault="00BE4B16" w:rsidP="00BE4B16">
            <w:pPr>
              <w:numPr>
                <w:ilvl w:val="0"/>
                <w:numId w:val="1"/>
              </w:numPr>
              <w:spacing w:before="100" w:beforeAutospacing="1" w:after="240" w:line="300" w:lineRule="atLeast"/>
              <w:rPr>
                <w:rFonts w:cs="Arial"/>
                <w:color w:val="333333"/>
                <w:sz w:val="20"/>
                <w:szCs w:val="20"/>
              </w:rPr>
            </w:pPr>
            <w:r w:rsidRPr="00BE4B16">
              <w:rPr>
                <w:rFonts w:cs="Arial"/>
                <w:color w:val="333333"/>
                <w:sz w:val="20"/>
                <w:szCs w:val="20"/>
              </w:rPr>
              <w:t xml:space="preserve">Members of the University Community leaving the University, changing positions within the University, or transitioning from one Unit to another </w:t>
            </w:r>
            <w:r w:rsidRPr="00BE4B16">
              <w:rPr>
                <w:rFonts w:cs="Arial"/>
                <w:color w:val="333333"/>
                <w:sz w:val="20"/>
                <w:szCs w:val="20"/>
                <w:u w:val="single"/>
              </w:rPr>
              <w:t>shall manage all University Records in accordance with</w:t>
            </w:r>
            <w:r w:rsidRPr="00BE4B16">
              <w:rPr>
                <w:rFonts w:cs="Arial"/>
                <w:color w:val="333333"/>
                <w:sz w:val="20"/>
                <w:szCs w:val="20"/>
              </w:rPr>
              <w:t xml:space="preserve"> the </w:t>
            </w:r>
            <w:hyperlink r:id="rId11" w:tgtFrame="_blank" w:history="1">
              <w:r w:rsidRPr="00BE4B16">
                <w:rPr>
                  <w:rFonts w:cs="Arial"/>
                  <w:color w:val="0000FF"/>
                  <w:sz w:val="20"/>
                  <w:szCs w:val="20"/>
                  <w:u w:val="single"/>
                </w:rPr>
                <w:t>Procedure for Managing University Records of Exiting Employees</w:t>
              </w:r>
            </w:hyperlink>
            <w:r w:rsidRPr="00BE4B16">
              <w:rPr>
                <w:rFonts w:cs="Arial"/>
                <w:color w:val="333333"/>
                <w:sz w:val="20"/>
                <w:szCs w:val="20"/>
              </w:rPr>
              <w:t>.</w:t>
            </w:r>
          </w:p>
          <w:p w:rsidR="00BE4B16" w:rsidRPr="00BE4B16" w:rsidRDefault="00BE4B16" w:rsidP="00BE4B16">
            <w:pPr>
              <w:numPr>
                <w:ilvl w:val="0"/>
                <w:numId w:val="1"/>
              </w:numPr>
              <w:spacing w:before="100" w:beforeAutospacing="1" w:after="100" w:afterAutospacing="1" w:line="300" w:lineRule="atLeast"/>
              <w:rPr>
                <w:bCs/>
                <w:i/>
                <w:sz w:val="20"/>
                <w:szCs w:val="20"/>
              </w:rPr>
            </w:pPr>
            <w:r w:rsidRPr="00BE4B16">
              <w:rPr>
                <w:rFonts w:cs="Arial"/>
                <w:color w:val="333333"/>
                <w:sz w:val="20"/>
                <w:szCs w:val="20"/>
              </w:rPr>
              <w:lastRenderedPageBreak/>
              <w:t xml:space="preserve">If, as a result of developing Retention and Disposal Schedules, records are identified as having archival value, they should be </w:t>
            </w:r>
            <w:r w:rsidRPr="00BE4B16">
              <w:rPr>
                <w:rFonts w:cs="Arial"/>
                <w:color w:val="333333"/>
                <w:sz w:val="20"/>
                <w:szCs w:val="20"/>
                <w:u w:val="single"/>
              </w:rPr>
              <w:t>transferred to the University Archives</w:t>
            </w:r>
            <w:r w:rsidRPr="00BE4B16">
              <w:rPr>
                <w:rFonts w:cs="Arial"/>
                <w:color w:val="333333"/>
                <w:sz w:val="20"/>
                <w:szCs w:val="20"/>
              </w:rPr>
              <w:t>.</w:t>
            </w:r>
          </w:p>
        </w:tc>
      </w:tr>
      <w:tr w:rsidR="00BE4B16" w:rsidRPr="00BE4B16" w:rsidTr="00E608F8">
        <w:tc>
          <w:tcPr>
            <w:tcW w:w="9350" w:type="dxa"/>
            <w:shd w:val="clear" w:color="auto" w:fill="D9D9D9" w:themeFill="background1" w:themeFillShade="D9"/>
          </w:tcPr>
          <w:p w:rsidR="00BE4B16" w:rsidRPr="00BE4B16" w:rsidRDefault="00BE4B16" w:rsidP="00BE4B16">
            <w:pPr>
              <w:spacing w:before="20" w:after="20"/>
              <w:outlineLvl w:val="0"/>
              <w:rPr>
                <w:rFonts w:ascii="Calibri" w:eastAsia="Times New Roman" w:hAnsi="Calibri" w:cs="Arial"/>
                <w:b/>
                <w:i/>
                <w:smallCaps/>
                <w:sz w:val="20"/>
                <w:szCs w:val="20"/>
                <w14:shadow w14:blurRad="50800" w14:dist="38100" w14:dir="2700000" w14:sx="100000" w14:sy="100000" w14:kx="0" w14:ky="0" w14:algn="tl">
                  <w14:srgbClr w14:val="000000">
                    <w14:alpha w14:val="60000"/>
                  </w14:srgbClr>
                </w14:shadow>
              </w:rPr>
            </w:pPr>
            <w:bookmarkStart w:id="11" w:name="_Toc462152580"/>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lastRenderedPageBreak/>
              <w:t>Reference – MUNFA Collective Agreement</w:t>
            </w:r>
            <w:bookmarkEnd w:id="11"/>
          </w:p>
        </w:tc>
      </w:tr>
      <w:tr w:rsidR="00BE4B16" w:rsidRPr="00BE4B16" w:rsidTr="00E608F8">
        <w:tc>
          <w:tcPr>
            <w:tcW w:w="9350" w:type="dxa"/>
            <w:shd w:val="clear" w:color="auto" w:fill="D9D9D9" w:themeFill="background1" w:themeFillShade="D9"/>
          </w:tcPr>
          <w:p w:rsidR="00BE4B16" w:rsidRPr="00BE4B16" w:rsidRDefault="00BE4B16" w:rsidP="00BE4B16">
            <w:pPr>
              <w:spacing w:before="20" w:after="20"/>
              <w:outlineLvl w:val="0"/>
              <w:rPr>
                <w:rFonts w:ascii="Calibri" w:eastAsia="Times New Roman" w:hAnsi="Calibri" w:cs="Arial"/>
                <w:b/>
                <w:smallCaps/>
                <w14:shadow w14:blurRad="50800" w14:dist="38100" w14:dir="2700000" w14:sx="100000" w14:sy="100000" w14:kx="0" w14:ky="0" w14:algn="tl">
                  <w14:srgbClr w14:val="000000">
                    <w14:alpha w14:val="60000"/>
                  </w14:srgbClr>
                </w14:shadow>
              </w:rPr>
            </w:pPr>
            <w:bookmarkStart w:id="12" w:name="_Toc462152581"/>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IM Compliance Requirements</w:t>
            </w:r>
            <w:bookmarkEnd w:id="12"/>
          </w:p>
        </w:tc>
      </w:tr>
      <w:tr w:rsidR="00BE4B16" w:rsidRPr="00BE4B16" w:rsidTr="00E608F8">
        <w:tc>
          <w:tcPr>
            <w:tcW w:w="9350" w:type="dxa"/>
          </w:tcPr>
          <w:p w:rsidR="00BE4B16" w:rsidRPr="00BE4B16" w:rsidRDefault="00BE4B16" w:rsidP="00BE4B16">
            <w:pPr>
              <w:autoSpaceDE w:val="0"/>
              <w:autoSpaceDN w:val="0"/>
              <w:adjustRightInd w:val="0"/>
              <w:spacing w:before="120" w:after="120"/>
              <w:rPr>
                <w:rFonts w:ascii="Calibri" w:hAnsi="Calibri" w:cs="Calibri"/>
                <w:color w:val="000000"/>
                <w:sz w:val="20"/>
                <w:szCs w:val="20"/>
              </w:rPr>
            </w:pPr>
            <w:r w:rsidRPr="00BE4B16">
              <w:rPr>
                <w:rFonts w:ascii="Calibri" w:hAnsi="Calibri" w:cs="Calibri"/>
                <w:color w:val="000000"/>
                <w:sz w:val="20"/>
                <w:szCs w:val="20"/>
              </w:rPr>
              <w:t xml:space="preserve">The </w:t>
            </w:r>
            <w:r w:rsidRPr="00BE4B16">
              <w:rPr>
                <w:rFonts w:ascii="Calibri" w:hAnsi="Calibri" w:cs="Calibri"/>
                <w:b/>
                <w:bCs/>
                <w:color w:val="000000"/>
                <w:sz w:val="20"/>
                <w:szCs w:val="20"/>
              </w:rPr>
              <w:t xml:space="preserve">MUNFA collective agreement </w:t>
            </w:r>
            <w:r w:rsidRPr="00BE4B16">
              <w:rPr>
                <w:rFonts w:ascii="Calibri" w:hAnsi="Calibri" w:cs="Calibri"/>
                <w:color w:val="000000"/>
                <w:sz w:val="20"/>
                <w:szCs w:val="20"/>
              </w:rPr>
              <w:t xml:space="preserve">requires proper recordkeeping by the university, especially with respect to the management of academic human resource records. </w:t>
            </w:r>
          </w:p>
        </w:tc>
      </w:tr>
      <w:tr w:rsidR="00BE4B16" w:rsidRPr="00BE4B16" w:rsidTr="00E608F8">
        <w:tc>
          <w:tcPr>
            <w:tcW w:w="9350" w:type="dxa"/>
            <w:shd w:val="clear" w:color="auto" w:fill="D9D9D9" w:themeFill="background1" w:themeFillShade="D9"/>
          </w:tcPr>
          <w:p w:rsidR="00BE4B16" w:rsidRPr="00BE4B16" w:rsidRDefault="00BE4B16" w:rsidP="00BE4B16">
            <w:pPr>
              <w:spacing w:before="20" w:after="20"/>
              <w:outlineLvl w:val="0"/>
              <w:rPr>
                <w:rFonts w:ascii="Calibri" w:eastAsia="Times New Roman" w:hAnsi="Calibri" w:cs="Arial"/>
                <w:b/>
                <w:i/>
                <w:smallCaps/>
                <w:sz w:val="20"/>
                <w:szCs w:val="20"/>
                <w14:shadow w14:blurRad="50800" w14:dist="38100" w14:dir="2700000" w14:sx="100000" w14:sy="100000" w14:kx="0" w14:ky="0" w14:algn="tl">
                  <w14:srgbClr w14:val="000000">
                    <w14:alpha w14:val="60000"/>
                  </w14:srgbClr>
                </w14:shadow>
              </w:rPr>
            </w:pPr>
            <w:bookmarkStart w:id="13" w:name="_Toc462152582"/>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Reference –</w:t>
            </w:r>
            <w:bookmarkEnd w:id="13"/>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 xml:space="preserve"> </w:t>
            </w:r>
          </w:p>
        </w:tc>
      </w:tr>
      <w:tr w:rsidR="00BE4B16" w:rsidRPr="00BE4B16" w:rsidTr="00E608F8">
        <w:tc>
          <w:tcPr>
            <w:tcW w:w="9350" w:type="dxa"/>
            <w:shd w:val="clear" w:color="auto" w:fill="D9D9D9" w:themeFill="background1" w:themeFillShade="D9"/>
          </w:tcPr>
          <w:p w:rsidR="00BE4B16" w:rsidRPr="00BE4B16" w:rsidRDefault="00BE4B16" w:rsidP="00BE4B16">
            <w:pPr>
              <w:spacing w:before="20" w:after="20"/>
              <w:outlineLvl w:val="0"/>
              <w:rPr>
                <w:rFonts w:ascii="Calibri" w:eastAsia="Times New Roman" w:hAnsi="Calibri" w:cs="Arial"/>
                <w:b/>
                <w:smallCaps/>
                <w14:shadow w14:blurRad="50800" w14:dist="38100" w14:dir="2700000" w14:sx="100000" w14:sy="100000" w14:kx="0" w14:ky="0" w14:algn="tl">
                  <w14:srgbClr w14:val="000000">
                    <w14:alpha w14:val="60000"/>
                  </w14:srgbClr>
                </w14:shadow>
              </w:rPr>
            </w:pPr>
            <w:bookmarkStart w:id="14" w:name="_Toc462152583"/>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IM Compliance Requirements</w:t>
            </w:r>
            <w:bookmarkEnd w:id="14"/>
          </w:p>
        </w:tc>
      </w:tr>
      <w:tr w:rsidR="00BE4B16" w:rsidRPr="00BE4B16" w:rsidTr="00E608F8">
        <w:tc>
          <w:tcPr>
            <w:tcW w:w="9350" w:type="dxa"/>
          </w:tcPr>
          <w:p w:rsidR="00BE4B16" w:rsidRPr="00BE4B16" w:rsidRDefault="00BE4B16" w:rsidP="00BE4B16">
            <w:pPr>
              <w:spacing w:before="120" w:after="120"/>
              <w:rPr>
                <w:bCs/>
                <w:i/>
                <w:sz w:val="20"/>
                <w:szCs w:val="20"/>
              </w:rPr>
            </w:pPr>
          </w:p>
          <w:p w:rsidR="00BE4B16" w:rsidRDefault="00BE4B16" w:rsidP="00BE4B16">
            <w:pPr>
              <w:spacing w:before="120" w:after="120"/>
              <w:rPr>
                <w:bCs/>
                <w:i/>
                <w:sz w:val="20"/>
                <w:szCs w:val="20"/>
              </w:rPr>
            </w:pPr>
          </w:p>
          <w:p w:rsidR="00BE4B16" w:rsidRDefault="00BE4B16" w:rsidP="00BE4B16">
            <w:pPr>
              <w:spacing w:before="120" w:after="120"/>
              <w:rPr>
                <w:bCs/>
                <w:i/>
                <w:sz w:val="20"/>
                <w:szCs w:val="20"/>
              </w:rPr>
            </w:pPr>
          </w:p>
          <w:p w:rsidR="00BE4B16" w:rsidRDefault="00BE4B16" w:rsidP="00BE4B16">
            <w:pPr>
              <w:spacing w:before="120" w:after="120"/>
              <w:rPr>
                <w:bCs/>
                <w:i/>
                <w:sz w:val="20"/>
                <w:szCs w:val="20"/>
              </w:rPr>
            </w:pPr>
          </w:p>
          <w:p w:rsidR="00BE4B16" w:rsidRPr="00BE4B16" w:rsidRDefault="00BE4B16" w:rsidP="00BE4B16">
            <w:pPr>
              <w:spacing w:before="120" w:after="120"/>
              <w:rPr>
                <w:bCs/>
                <w:i/>
                <w:sz w:val="20"/>
                <w:szCs w:val="20"/>
              </w:rPr>
            </w:pPr>
          </w:p>
          <w:p w:rsidR="00BE4B16" w:rsidRPr="00BE4B16" w:rsidRDefault="00BE4B16" w:rsidP="00BE4B16">
            <w:pPr>
              <w:spacing w:before="120" w:after="120"/>
              <w:rPr>
                <w:bCs/>
                <w:i/>
                <w:sz w:val="20"/>
                <w:szCs w:val="20"/>
              </w:rPr>
            </w:pPr>
          </w:p>
          <w:p w:rsidR="00BE4B16" w:rsidRPr="00BE4B16" w:rsidRDefault="00BE4B16" w:rsidP="00BE4B16"/>
        </w:tc>
      </w:tr>
      <w:tr w:rsidR="00BE4B16" w:rsidRPr="00BE4B16" w:rsidTr="00E608F8">
        <w:tc>
          <w:tcPr>
            <w:tcW w:w="9350" w:type="dxa"/>
            <w:shd w:val="clear" w:color="auto" w:fill="D9D9D9" w:themeFill="background1" w:themeFillShade="D9"/>
          </w:tcPr>
          <w:p w:rsidR="00BE4B16" w:rsidRPr="00BE4B16" w:rsidRDefault="00BE4B16" w:rsidP="00BE4B16">
            <w:pPr>
              <w:spacing w:before="20" w:after="20"/>
              <w:outlineLvl w:val="0"/>
              <w:rPr>
                <w:rFonts w:ascii="Calibri" w:eastAsia="Times New Roman" w:hAnsi="Calibri" w:cs="Arial"/>
                <w:b/>
                <w:i/>
                <w:smallCaps/>
                <w:sz w:val="20"/>
                <w:szCs w:val="20"/>
                <w14:shadow w14:blurRad="50800" w14:dist="38100" w14:dir="2700000" w14:sx="100000" w14:sy="100000" w14:kx="0" w14:ky="0" w14:algn="tl">
                  <w14:srgbClr w14:val="000000">
                    <w14:alpha w14:val="60000"/>
                  </w14:srgbClr>
                </w14:shadow>
              </w:rPr>
            </w:pPr>
            <w:bookmarkStart w:id="15" w:name="_Toc462152584"/>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Reference –</w:t>
            </w:r>
            <w:bookmarkEnd w:id="15"/>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 xml:space="preserve"> </w:t>
            </w:r>
          </w:p>
        </w:tc>
      </w:tr>
      <w:tr w:rsidR="00BE4B16" w:rsidRPr="00BE4B16" w:rsidTr="00E608F8">
        <w:tc>
          <w:tcPr>
            <w:tcW w:w="9350" w:type="dxa"/>
            <w:shd w:val="clear" w:color="auto" w:fill="D9D9D9" w:themeFill="background1" w:themeFillShade="D9"/>
          </w:tcPr>
          <w:p w:rsidR="00BE4B16" w:rsidRPr="00BE4B16" w:rsidRDefault="00BE4B16" w:rsidP="00BE4B16">
            <w:pPr>
              <w:spacing w:before="20" w:after="20"/>
              <w:outlineLvl w:val="0"/>
              <w:rPr>
                <w:rFonts w:ascii="Calibri" w:eastAsia="Times New Roman" w:hAnsi="Calibri" w:cs="Arial"/>
                <w:b/>
                <w:smallCaps/>
                <w14:shadow w14:blurRad="50800" w14:dist="38100" w14:dir="2700000" w14:sx="100000" w14:sy="100000" w14:kx="0" w14:ky="0" w14:algn="tl">
                  <w14:srgbClr w14:val="000000">
                    <w14:alpha w14:val="60000"/>
                  </w14:srgbClr>
                </w14:shadow>
              </w:rPr>
            </w:pPr>
            <w:bookmarkStart w:id="16" w:name="_Toc462152585"/>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IM Compliance Requirements</w:t>
            </w:r>
            <w:bookmarkEnd w:id="16"/>
          </w:p>
        </w:tc>
      </w:tr>
      <w:tr w:rsidR="00BE4B16" w:rsidRPr="00BE4B16" w:rsidTr="00E608F8">
        <w:tc>
          <w:tcPr>
            <w:tcW w:w="9350" w:type="dxa"/>
          </w:tcPr>
          <w:p w:rsidR="00BE4B16" w:rsidRPr="00BE4B16" w:rsidRDefault="00BE4B16" w:rsidP="00BE4B16">
            <w:pPr>
              <w:spacing w:before="120" w:after="120"/>
              <w:rPr>
                <w:bCs/>
                <w:i/>
                <w:sz w:val="20"/>
                <w:szCs w:val="20"/>
              </w:rPr>
            </w:pPr>
          </w:p>
          <w:p w:rsidR="00BE4B16" w:rsidRDefault="00BE4B16" w:rsidP="00BE4B16">
            <w:pPr>
              <w:spacing w:before="120" w:after="120"/>
              <w:rPr>
                <w:bCs/>
                <w:i/>
                <w:sz w:val="20"/>
                <w:szCs w:val="20"/>
              </w:rPr>
            </w:pPr>
          </w:p>
          <w:p w:rsidR="00BE4B16" w:rsidRDefault="00BE4B16" w:rsidP="00BE4B16">
            <w:pPr>
              <w:spacing w:before="120" w:after="120"/>
              <w:rPr>
                <w:bCs/>
                <w:i/>
                <w:sz w:val="20"/>
                <w:szCs w:val="20"/>
              </w:rPr>
            </w:pPr>
          </w:p>
          <w:p w:rsidR="00BE4B16" w:rsidRDefault="00BE4B16" w:rsidP="00BE4B16">
            <w:pPr>
              <w:spacing w:before="120" w:after="120"/>
              <w:rPr>
                <w:bCs/>
                <w:i/>
                <w:sz w:val="20"/>
                <w:szCs w:val="20"/>
              </w:rPr>
            </w:pPr>
          </w:p>
          <w:p w:rsidR="00BE4B16" w:rsidRPr="00BE4B16" w:rsidRDefault="00BE4B16" w:rsidP="00BE4B16">
            <w:pPr>
              <w:spacing w:before="120" w:after="120"/>
              <w:rPr>
                <w:bCs/>
                <w:i/>
                <w:sz w:val="20"/>
                <w:szCs w:val="20"/>
              </w:rPr>
            </w:pPr>
          </w:p>
          <w:p w:rsidR="00BE4B16" w:rsidRPr="00BE4B16" w:rsidRDefault="00BE4B16" w:rsidP="00BE4B16">
            <w:pPr>
              <w:spacing w:before="120" w:after="120"/>
              <w:rPr>
                <w:bCs/>
                <w:i/>
                <w:sz w:val="20"/>
                <w:szCs w:val="20"/>
              </w:rPr>
            </w:pPr>
          </w:p>
          <w:p w:rsidR="00BE4B16" w:rsidRPr="00BE4B16" w:rsidRDefault="00BE4B16" w:rsidP="00BE4B16">
            <w:pPr>
              <w:spacing w:before="20" w:after="20"/>
              <w:outlineLvl w:val="0"/>
              <w:rPr>
                <w:rFonts w:ascii="Calibri" w:eastAsia="Times New Roman" w:hAnsi="Calibri" w:cs="Arial"/>
                <w:b/>
                <w:smallCaps/>
                <w14:shadow w14:blurRad="50800" w14:dist="38100" w14:dir="2700000" w14:sx="100000" w14:sy="100000" w14:kx="0" w14:ky="0" w14:algn="tl">
                  <w14:srgbClr w14:val="000000">
                    <w14:alpha w14:val="60000"/>
                  </w14:srgbClr>
                </w14:shadow>
              </w:rPr>
            </w:pPr>
          </w:p>
        </w:tc>
      </w:tr>
      <w:tr w:rsidR="00BE4B16" w:rsidRPr="00BE4B16" w:rsidTr="00E608F8">
        <w:tc>
          <w:tcPr>
            <w:tcW w:w="9350" w:type="dxa"/>
            <w:shd w:val="clear" w:color="auto" w:fill="D9D9D9" w:themeFill="background1" w:themeFillShade="D9"/>
          </w:tcPr>
          <w:p w:rsidR="00BE4B16" w:rsidRPr="00BE4B16" w:rsidRDefault="00BE4B16" w:rsidP="00BE4B16">
            <w:pPr>
              <w:spacing w:before="20" w:after="20"/>
              <w:outlineLvl w:val="0"/>
              <w:rPr>
                <w:rFonts w:ascii="Calibri" w:eastAsia="Times New Roman" w:hAnsi="Calibri" w:cs="Arial"/>
                <w:b/>
                <w:i/>
                <w:smallCaps/>
                <w:sz w:val="20"/>
                <w:szCs w:val="20"/>
                <w14:shadow w14:blurRad="50800" w14:dist="38100" w14:dir="2700000" w14:sx="100000" w14:sy="100000" w14:kx="0" w14:ky="0" w14:algn="tl">
                  <w14:srgbClr w14:val="000000">
                    <w14:alpha w14:val="60000"/>
                  </w14:srgbClr>
                </w14:shadow>
              </w:rPr>
            </w:pPr>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 xml:space="preserve">Reference – </w:t>
            </w:r>
          </w:p>
        </w:tc>
      </w:tr>
      <w:tr w:rsidR="00BE4B16" w:rsidRPr="00BE4B16" w:rsidTr="00E608F8">
        <w:tc>
          <w:tcPr>
            <w:tcW w:w="9350" w:type="dxa"/>
            <w:shd w:val="clear" w:color="auto" w:fill="D9D9D9" w:themeFill="background1" w:themeFillShade="D9"/>
          </w:tcPr>
          <w:p w:rsidR="00BE4B16" w:rsidRPr="00BE4B16" w:rsidRDefault="00BE4B16" w:rsidP="00BE4B16">
            <w:pPr>
              <w:spacing w:before="20" w:after="20"/>
              <w:outlineLvl w:val="0"/>
              <w:rPr>
                <w:rFonts w:ascii="Calibri" w:eastAsia="Times New Roman" w:hAnsi="Calibri" w:cs="Arial"/>
                <w:b/>
                <w:smallCaps/>
                <w14:shadow w14:blurRad="50800" w14:dist="38100" w14:dir="2700000" w14:sx="100000" w14:sy="100000" w14:kx="0" w14:ky="0" w14:algn="tl">
                  <w14:srgbClr w14:val="000000">
                    <w14:alpha w14:val="60000"/>
                  </w14:srgbClr>
                </w14:shadow>
              </w:rPr>
            </w:pPr>
            <w:r w:rsidRPr="00BE4B16">
              <w:rPr>
                <w:rFonts w:ascii="Calibri" w:eastAsia="Times New Roman" w:hAnsi="Calibri" w:cs="Arial"/>
                <w:b/>
                <w:smallCaps/>
                <w14:shadow w14:blurRad="50800" w14:dist="38100" w14:dir="2700000" w14:sx="100000" w14:sy="100000" w14:kx="0" w14:ky="0" w14:algn="tl">
                  <w14:srgbClr w14:val="000000">
                    <w14:alpha w14:val="60000"/>
                  </w14:srgbClr>
                </w14:shadow>
              </w:rPr>
              <w:t>IM Compliance Requirements</w:t>
            </w:r>
          </w:p>
        </w:tc>
      </w:tr>
      <w:tr w:rsidR="00BE4B16" w:rsidRPr="00BE4B16" w:rsidTr="00E608F8">
        <w:tc>
          <w:tcPr>
            <w:tcW w:w="9350" w:type="dxa"/>
          </w:tcPr>
          <w:p w:rsidR="00BE4B16" w:rsidRPr="00BE4B16" w:rsidRDefault="00BE4B16" w:rsidP="00BE4B16">
            <w:pPr>
              <w:spacing w:before="120" w:after="120"/>
              <w:rPr>
                <w:bCs/>
                <w:i/>
                <w:sz w:val="20"/>
                <w:szCs w:val="20"/>
              </w:rPr>
            </w:pPr>
          </w:p>
          <w:p w:rsidR="00BE4B16" w:rsidRDefault="00BE4B16" w:rsidP="00BE4B16">
            <w:pPr>
              <w:spacing w:before="120" w:after="120"/>
              <w:rPr>
                <w:bCs/>
                <w:i/>
                <w:sz w:val="20"/>
                <w:szCs w:val="20"/>
              </w:rPr>
            </w:pPr>
          </w:p>
          <w:p w:rsidR="00BE4B16" w:rsidRDefault="00BE4B16" w:rsidP="00BE4B16">
            <w:pPr>
              <w:spacing w:before="120" w:after="120"/>
              <w:rPr>
                <w:bCs/>
                <w:i/>
                <w:sz w:val="20"/>
                <w:szCs w:val="20"/>
              </w:rPr>
            </w:pPr>
          </w:p>
          <w:p w:rsidR="00BE4B16" w:rsidRDefault="00BE4B16" w:rsidP="00BE4B16">
            <w:pPr>
              <w:spacing w:before="120" w:after="120"/>
              <w:rPr>
                <w:bCs/>
                <w:i/>
                <w:sz w:val="20"/>
                <w:szCs w:val="20"/>
              </w:rPr>
            </w:pPr>
          </w:p>
          <w:p w:rsidR="00BE4B16" w:rsidRPr="00BE4B16" w:rsidRDefault="00BE4B16" w:rsidP="00BE4B16">
            <w:pPr>
              <w:spacing w:before="120" w:after="120"/>
              <w:rPr>
                <w:bCs/>
                <w:i/>
                <w:sz w:val="20"/>
                <w:szCs w:val="20"/>
              </w:rPr>
            </w:pPr>
          </w:p>
          <w:p w:rsidR="00BE4B16" w:rsidRPr="00BE4B16" w:rsidRDefault="00BE4B16" w:rsidP="00BE4B16">
            <w:pPr>
              <w:spacing w:before="120" w:after="120"/>
              <w:rPr>
                <w:bCs/>
                <w:i/>
                <w:sz w:val="20"/>
                <w:szCs w:val="20"/>
              </w:rPr>
            </w:pPr>
          </w:p>
          <w:p w:rsidR="00BE4B16" w:rsidRPr="00BE4B16" w:rsidRDefault="00BE4B16" w:rsidP="00BE4B16">
            <w:pPr>
              <w:spacing w:before="120" w:after="120"/>
              <w:rPr>
                <w:bCs/>
                <w:i/>
                <w:sz w:val="20"/>
                <w:szCs w:val="20"/>
              </w:rPr>
            </w:pPr>
          </w:p>
        </w:tc>
      </w:tr>
    </w:tbl>
    <w:p w:rsidR="00BE4B16" w:rsidRDefault="00BE4B16" w:rsidP="00BE4B16"/>
    <w:sectPr w:rsidR="00BE4B16">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16" w:rsidRDefault="00BE4B16" w:rsidP="00BE4B16">
      <w:pPr>
        <w:spacing w:after="0" w:line="240" w:lineRule="auto"/>
      </w:pPr>
      <w:r>
        <w:separator/>
      </w:r>
    </w:p>
  </w:endnote>
  <w:endnote w:type="continuationSeparator" w:id="0">
    <w:p w:rsidR="00BE4B16" w:rsidRDefault="00BE4B16" w:rsidP="00BE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98758"/>
      <w:docPartObj>
        <w:docPartGallery w:val="Page Numbers (Bottom of Page)"/>
        <w:docPartUnique/>
      </w:docPartObj>
    </w:sdtPr>
    <w:sdtEndPr>
      <w:rPr>
        <w:noProof/>
      </w:rPr>
    </w:sdtEndPr>
    <w:sdtContent>
      <w:p w:rsidR="00BE4B16" w:rsidRDefault="00BE4B16">
        <w:pPr>
          <w:pStyle w:val="Footer"/>
          <w:jc w:val="right"/>
        </w:pPr>
        <w:r>
          <w:fldChar w:fldCharType="begin"/>
        </w:r>
        <w:r>
          <w:instrText xml:space="preserve"> PAGE   \* MERGEFORMAT </w:instrText>
        </w:r>
        <w:r>
          <w:fldChar w:fldCharType="separate"/>
        </w:r>
        <w:r w:rsidR="00AC7B2C">
          <w:rPr>
            <w:noProof/>
          </w:rPr>
          <w:t>1</w:t>
        </w:r>
        <w:r>
          <w:rPr>
            <w:noProof/>
          </w:rPr>
          <w:fldChar w:fldCharType="end"/>
        </w:r>
      </w:p>
    </w:sdtContent>
  </w:sdt>
  <w:p w:rsidR="00BE4B16" w:rsidRDefault="00BE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16" w:rsidRDefault="00BE4B16" w:rsidP="00BE4B16">
      <w:pPr>
        <w:spacing w:after="0" w:line="240" w:lineRule="auto"/>
      </w:pPr>
      <w:r>
        <w:separator/>
      </w:r>
    </w:p>
  </w:footnote>
  <w:footnote w:type="continuationSeparator" w:id="0">
    <w:p w:rsidR="00BE4B16" w:rsidRDefault="00BE4B16" w:rsidP="00BE4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F358B"/>
    <w:multiLevelType w:val="multilevel"/>
    <w:tmpl w:val="C2DAB2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9DC104F"/>
    <w:multiLevelType w:val="hybridMultilevel"/>
    <w:tmpl w:val="CFB28A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9665E2"/>
    <w:multiLevelType w:val="hybridMultilevel"/>
    <w:tmpl w:val="8F94BB04"/>
    <w:lvl w:ilvl="0" w:tplc="1E9EF6C6">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16"/>
    <w:rsid w:val="00130188"/>
    <w:rsid w:val="005035E5"/>
    <w:rsid w:val="00AC7B2C"/>
    <w:rsid w:val="00BE4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3B674-0C2A-4557-B79B-63BF4836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16"/>
  </w:style>
  <w:style w:type="paragraph" w:styleId="Footer">
    <w:name w:val="footer"/>
    <w:basedOn w:val="Normal"/>
    <w:link w:val="FooterChar"/>
    <w:uiPriority w:val="99"/>
    <w:unhideWhenUsed/>
    <w:rsid w:val="00BE4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ca/policy/site/policy.php?id=2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n.ca/policy/site/procedure.php?id=48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n.ca/policy/site/procedure.php?id=524" TargetMode="External"/><Relationship Id="rId5" Type="http://schemas.openxmlformats.org/officeDocument/2006/relationships/footnotes" Target="footnotes.xml"/><Relationship Id="rId10" Type="http://schemas.openxmlformats.org/officeDocument/2006/relationships/hyperlink" Target="http://www.mun.ca/policy/site/procedure.php?id=523" TargetMode="External"/><Relationship Id="rId4" Type="http://schemas.openxmlformats.org/officeDocument/2006/relationships/webSettings" Target="webSettings.xml"/><Relationship Id="rId9" Type="http://schemas.openxmlformats.org/officeDocument/2006/relationships/hyperlink" Target="http://www.mun.ca/policy/site/procedure.php?id=5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Memorial University of Newfoundland</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Christy</dc:creator>
  <cp:keywords/>
  <dc:description/>
  <cp:lastModifiedBy>Walters, Christy</cp:lastModifiedBy>
  <cp:revision>2</cp:revision>
  <dcterms:created xsi:type="dcterms:W3CDTF">2017-03-02T18:40:00Z</dcterms:created>
  <dcterms:modified xsi:type="dcterms:W3CDTF">2017-03-02T18:40:00Z</dcterms:modified>
</cp:coreProperties>
</file>